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138</w:t>
      </w:r>
    </w:p>
    <w:p>
      <w:r>
        <w:t>Bundesgericht (BGE), 1972-03-17, IT</w:t>
      </w:r>
    </w:p>
    <w:p>
      <w:r>
        <w:rPr>
          <w:b/>
        </w:rPr>
        <w:t xml:space="preserve">Quelle: </w:t>
      </w:r>
      <w:r>
        <w:t>https://mcp.opencaselaw.ch/entscheid/bge_BGE_98_IV_138</w:t>
      </w:r>
    </w:p>
    <w:p>
      <w:r>
        <w:t>FR: ATF 98 IV 138</w:t>
      </w:r>
    </w:p>
    <w:p>
      <w:r>
        <w:t>IT: DTF 98 IV 138</w:t>
      </w:r>
    </w:p>
    <w:p>
      <w:pPr>
        <w:pStyle w:val="Heading2"/>
      </w:pPr>
      <w:r>
        <w:t>Regeste</w:t>
      </w:r>
    </w:p>
    <w:p>
      <w:r>
        <w:t>Regeste Art. 39 des Bundesgesetzes über Jagd und Vogelschutz. Unter den Begriff des Jagens fällt jedes Verhalten, das geeignet ist, das Wild zu erlegen oder einzufangen. Nicht erforderlich ist das Erreichen des Wildes; schon wer auf dem Anstand ist, jagt.</w:t>
      </w:r>
    </w:p>
    <w:p>
      <w:r>
        <w:t>Regeste Art. 39 de la loi fédérale sur la chasse et la protection des oiseaux. La notion de chasse comprend tous les actes ou comportement propres à tuer ou à capturer le gibier. Il n'est pas nécessaire d'atteindre le but; déjà celui qui est à l'affût, chasse.</w:t>
      </w:r>
    </w:p>
    <w:p>
      <w:r>
        <w:t>Regesto Art. 39 della legge federale sulla caccia e la protezione degli uccelli. Nella nozione di cacciare rientra qualsiasi azione ocomportamento atto ad uccidere o a catturare la selvaggina. Non è necessario aver raggiunto il bersaglio; già chi sta in agguato caccia.</w:t>
      </w:r>
    </w:p>
    <w:p>
      <w:pPr>
        <w:pStyle w:val="Heading2"/>
      </w:pPr>
      <w:r>
        <w:t>Erwägungen</w:t>
      </w:r>
    </w:p>
    <w:p>
      <w:r>
        <w:rPr>
          <w:b/>
        </w:rPr>
        <w:t>E. 1</w:t>
      </w:r>
    </w:p>
    <w:p>
      <w:r>
        <w:t>...</w:t>
      </w:r>
    </w:p>
    <w:p>
      <w:r>
        <w:rPr>
          <w:b/>
        </w:rPr>
        <w:t>E. 2</w:t>
      </w:r>
    </w:p>
    <w:p>
      <w:r>
        <w:t>Il ricorrente ammette di aver voluto dar la caccia ad uno stormo di cesene in una zona di divieto. È a ragione non contesta che la caccia a questa specie di uccelli è proibita. Escluse in un primo tempo esplicitamente dalla protezione (v. art. 2 num. 5 della legge federale sulla caccia e la protezione degli uccelli del 10 giugno 1925, nel suo tenore originale), le cesene rientrano infatti ora nella categoria della selvaggina protetta (v. il nuovo testo dell'art. 2 della citata legge, introdotto con la novella legislativa del 23 marzo 1962, nonché l'art. 4 num. 5). Solo, egli adduce di essersi limitato a un tentativo, in seguito al sopraggiungere d'un guardiacaccia, e chiede quindi una condanna più mite. Giusta l'art. 39 cpv. 3 LCPC, chiunque illecitamente caccia, uccide, cattura o tiene catturati uccelli protetti è punito con la multa da 50 a 400 franchi. Secondo giurisprudenza e dottrina, BGE 98 IV 138 S. 140 nella nozione di cacciare rientra qualsiasi azione o comportamento atto ad uccidere o a catturare la selvaggina (RU 74 IV 212/213; WAECKERLING, Die Jagdvergehen nach eidgenössischem und kantonalem Recht, p. 108). Non è necessario aver raggiunto il bersaglio. Già chi sta in agguato caccia, e l'intenzione di uccidere o di catturare basta a configurare l'infrazione. Ne consegue che a torto il ricorrente chiede una riduzione della pena per essersi limitato a un "tentativo". Il ricorso dev'essere quindi respinto, in quanto ricevibile. Dispositiv Il Tribunale federale pronuncia: Il ricorso è respinto, in quanto ricevibile.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