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9</w:t>
      </w:r>
    </w:p>
    <w:p>
      <w:r>
        <w:t>Bundesgericht (BGE), 1972-01-01, FR</w:t>
      </w:r>
    </w:p>
    <w:p>
      <w:r>
        <w:rPr>
          <w:b/>
        </w:rPr>
        <w:t xml:space="preserve">Quelle: </w:t>
      </w:r>
      <w:r>
        <w:t>https://mcp.opencaselaw.ch/entscheid/bge_BGE_98_II_9</w:t>
      </w:r>
    </w:p>
    <w:p>
      <w:r>
        <w:t>FR: ATF 98 II 9</w:t>
      </w:r>
    </w:p>
    <w:p>
      <w:r>
        <w:t>IT: DTF 98 II 9</w:t>
      </w:r>
    </w:p>
    <w:p>
      <w:pPr>
        <w:pStyle w:val="Heading2"/>
      </w:pPr>
      <w:r>
        <w:t>Regeste</w:t>
      </w:r>
    </w:p>
    <w:p>
      <w:r>
        <w:t>Regeste Art. 152 ZGB. Der Ehegatte, dessen leichtes Verschulden bei der Zerrüttung eine untergeordnete Rolle gespielt hat, ist im Sinne von Art. 152 ZGB als schuldloser Ehegatte zu betrachten (Änderung der Rechtsprechung).</w:t>
      </w:r>
    </w:p>
    <w:p>
      <w:r>
        <w:t>Regeste Art. 152 CC. Le conjoint dont la faute légère a joué un rôle secondaire dans la désunion doit être considéré comme l'époux innocent au sens de l'art. 152 CC (modification de la jurisprudence).</w:t>
      </w:r>
    </w:p>
    <w:p>
      <w:r>
        <w:t>Regesto Art. 152 CC. Il coniuge la cui colpa lieve ha avuto un'importanza secondaria nel dissidio va considerato come il coniuge innocente ai sensi dell'art. 152 CC (cambiamento della giurisprudenza).</w:t>
      </w:r>
    </w:p>
    <w:p>
      <w:pPr>
        <w:pStyle w:val="Heading2"/>
      </w:pPr>
      <w:r>
        <w:t>Erwägungen</w:t>
      </w:r>
    </w:p>
    <w:p>
      <w:r>
        <w:rPr>
          <w:b/>
        </w:rPr>
        <w:t>E. 1</w:t>
      </w:r>
    </w:p>
    <w:p>
      <w:r>
        <w:t>Aux termes de l'art. 152 CC, le juge peut accorder à l'époux innocent qui tomberait dans le dénuement par suite de la dissolution du mariage une pension alimentaire proportionnée aux facultés de l'autre conjoint, même si ce dernier n'a pas donné lieu au divorce. Selon la jurisprudence (RO 95 II 290 in fine et les arrêts cités), les manquements même graves aux devoirs découlant du mariage, qui sont sans relation de causalité avec le divorce, n'entraînent pas la perte du droit à une pension alimentaire basée sur l'art. 152 CC, ni même une réduction de cette pension. En revanche, l'époux dont la faute est en rapport de cause à effet avec la rupture du lien conjugal ne peut obtenir une pension alimentaire, à moins que son manquement n'ait joué qu'un rôle tout à fait secondaire dans la désunion ou ne soit que BGE 98 II 9 S. 13 la réaction à de graves provocations; le juge lui accordera alors une pension alimentaire, mais en réduira le montant, s'il l'estime opportun (RO 85 II 11, 90 II 71). Cette jurisprudence a été critiquée par les professeurs MERZ (RJB 1960 p. 402 s.) et HINDERLING (Das schweizerische Ehescheidungsrecht, 3e éd., p. 141 s.), qui la jugent trop sévère et proposent de ne pas refuser une pension alimentaire à l'époux dans le besoin qui a certes contribué à la rupture du lien conjugal, mais dont la faute, sans être tout à fait secondaire au point qu'elle soit négligeable, apparaît comme relativement légère. Ces remarques ne manquent pas de pertinence. Certes, sur le vu du texte légal, la jurisprudence actuelle constitue déjà une application très extensive de la notion d'époux innocent. Elle apparaît cependant encore trop rigide et conduit à des solutions inéquitables lorsque, en présence d'une faute caractérisée de l'autre époux, la faute du conjoint qui prétend à la pension, sans être "tout à fait secondaire" (völlig untergeordnet), est légère et n'a pas en soi de répercussions graves sur l'union conjugale. La préoccupation d'ordre social à la base de l'art. 152 CC commande une solution plus nuancée, qui n'exclue pas toute pension dès qu'une faute, même légère, est en relation de causalité avec la désunion. Il convient de renoncer à voir dans la causalité entre la faute et la désunion un critère aussi absolu, ce d'autant plus que l'application de ce critère, dans la pratique, dépend d'appréciations difficiles, dont le résultat est parfois incertain. Il se justifie de tempérer la portée de ce facteur et de reconnaître la qualité d'époux innocent au conjoint dont la faute, légère, a joué un rôle secondaire (untergeordnete Rolle) dans la désunion. En pareil cas, le juge doit jouir d'un large pouvoir d'appréciation pour allouer une pension, éventuellement réduite, si les circonstances de la cause font apparaître inéquitable de laisser le conjoint divorcé dans le dénuement, lui faisant payer trop durement des manquements légers qui, en soi, et sans la faute prépondérante de l'autre conjoint ou l'existence de graves facteurs objectifs de désunion, n'auraient pas conduit au divorce.</w:t>
      </w:r>
    </w:p>
    <w:p>
      <w:r>
        <w:rPr>
          <w:b/>
        </w:rPr>
        <w:t>E. 2</w:t>
      </w:r>
    </w:p>
    <w:p>
      <w:r>
        <w:t>En l'espèce, l'intimée, mariée très jeune, a affronté pendant quatorze ans les difficultés d'une union peu heureuse dès le début. Elle a bien élevé ses enfants. Elle a coopéré en travaillant au dehors à mettre à flot une situation financière BGE 98 II 9 S. 14 fort précaire. Il serait choquant de lui refuser toute pension parce que, lassée par l'inconsistance d'un mari léger, frivole et égoïste, inconsistance qui s'est manifestée dès le début du mariage et a duré quatorze ans, elle a à son tour fait preuve d'indépendance et de légèreté. A cet égard, il convient de relever qu'il est assez normal qu'une femme dont le mari sort et lui manifeste une indifférence constante prenne, après quatorze ans, l'habitude de passer fréquemment ses soirées chez une voisine. En revanche, les absences de l'intimée en été et en automne 1969 sont la manifestation d'un détachement et d'un parti pris d'indépendance qui constituent des manquements aux devoirs conjugaux. Quant à l'incident de décembre 1969, où l'intimée a été vue dans un établissement public avec Schwertfeger, il se situe après qu'a été rendu le prononcé de mesures protectrices de l'union conjugale autorisant les parties à vivre séparées, procédure qui en soi est la manifestation d'une mésentente sérieuse entre les époux. Sur le vu de l'ensemble des circonstances, et notamment de l'indifférence et des manquements durables du mari, de son attitude frivole dès le début du mariage, on doit considérer que les fautes de l'intimée sont légères. Commises à une époque où la mésentente est patente, ces fautes paraissent peu de chose en comparaison du comportement égoïste du mari. Elles ne sauraient donc faire perdre à l'intimée la qualité d'épouse innocente au sens de l'art. 152 CC.</w:t>
      </w:r>
    </w:p>
    <w:p>
      <w:r>
        <w:rPr>
          <w:b/>
        </w:rPr>
        <w:t>E. 3</w:t>
      </w:r>
    </w:p>
    <w:p>
      <w:r>
        <w:t>Atteinte dans sa santé, l'intimée sera exposée à la détresse à la suite du divorce. Le recourant ne le conteste pas.</w:t>
      </w:r>
    </w:p>
    <w:p>
      <w:r>
        <w:rPr>
          <w:b/>
        </w:rPr>
        <w:t>E. 4</w:t>
      </w:r>
    </w:p>
    <w:p>
      <w:r>
        <w:t>L'arrêt déféré a alloué à l'intimée une pension mensuelle de 150 fr. jusqu'à la majorité de Marc en novembre 1977 et de 300 fr. dès lors. Compte tenu de la diminution du pouvoir d'achat de la monnaie, du salaire du mari qui est de 1290 fr. net selon une attestation du 1er février 1971, cette pension est modeste eu égard encore au fait que l'intimée, pour des raisons de santé, ne travaille qu'à temps partiel, sans que l'on sache si elle pourra le faire régulièrement.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