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319</w:t>
      </w:r>
    </w:p>
    <w:p>
      <w:r>
        <w:t>Bundesgericht (BGE), 1972-01-01, FR</w:t>
      </w:r>
    </w:p>
    <w:p>
      <w:r>
        <w:rPr>
          <w:b/>
        </w:rPr>
        <w:t xml:space="preserve">Quelle: </w:t>
      </w:r>
      <w:r>
        <w:t>https://mcp.opencaselaw.ch/entscheid/bge_BGE_98_II_319</w:t>
      </w:r>
    </w:p>
    <w:p>
      <w:r>
        <w:t>FR: ATF 98 II 319</w:t>
      </w:r>
    </w:p>
    <w:p>
      <w:r>
        <w:t>IT: DTF 98 II 319</w:t>
      </w:r>
    </w:p>
    <w:p>
      <w:pPr>
        <w:pStyle w:val="Heading2"/>
      </w:pPr>
      <w:r>
        <w:t>Regeste</w:t>
      </w:r>
    </w:p>
    <w:p>
      <w:r>
        <w:t>Regeste 1. Art. 33 VVG. Bevor geprüft wird, ob ein Ausschlussgrund zutreffe, ist bei der Haftpflichtversicherung zu ermitteln, ob eine Haftpflicht besteht (Erw. 1). 2. Art. 58 und 59 OR. Art. 59 OR ergänzt Art. 58 OR und gibt daher nur Anspruch auf die sichernden Massregeln, die erforderlich sind, um einen Schaden abzuwenden, der von einem Gebäude oder einem Werke droht (Erw. 2 und 3). 3. Bei einem Gebäude, das einzustürzen droht, wird dieser Zweck durch die unverzügliche Räumung erreicht. Die Wiederunterbringung der Mieter fällt eventuell unter Art. 58 OR, wenn die Voraussetzungen für die Anwendung dieser Bestimmung - namentlich ein Mangel der Anlage oder des Unterhalts - gegeben sind (Erw. 3 am Ende).</w:t>
      </w:r>
    </w:p>
    <w:p>
      <w:r>
        <w:t>Regeste 1. Art. 33 LCA. Avant que d'examiner si les causes d'exclusion sont réalisées, il importe, en cas d'assurance de responsabilité civile, de déterminer si celle-ci est engagée (consid. 1). 2. Art. 58 et 59 CO. L'art. 59 CO est une disposition complémentaire de l'art. 58 CO. Il ne peut donc ouvrir la voie qu'aux mesures d'urgence nécessaires pour prévenir un dommage imminent provenant d'un bâtiment ou d'un ouvrage (consid. 2 et 3). 3. S'agissant d'un bâtiment qui menace ruine, ce but est atteint par l'évacuation sans délai des locaux. Le relogement des locataires relève éventuellement de l'art. 58 CO, si les conditions d'application - notamment un vice de construction ou un défaut d'entretien - en sont réalisées (consid. 3 in fine).</w:t>
      </w:r>
    </w:p>
    <w:p>
      <w:r>
        <w:t>Regesto 1. Art. 33 LCA. Nei casi di assicurazione per responsabilità civile occorre esaminare se una siffatta responsabilità esiste, prima di stabilire se i presupposti dell'esclusione sono adempiuti (consid. 1). 2. Art. 58 e 59 CO. L'art. 59 CO è complementare all'art. 58 CO. Può pertanto trovare applicazione solo per esigere le misure d'urgenza, necessarie arimuovere i pericoli incombenti da un edificio o da altra opera (consid. 2 e 3). 3. Se un edificio è in pericolo di crollare, la misura adeguata è quella dell'immediato sgombero dei locali. L'alloggiamento dei locatari concerne eventualmente l'art. 58 CO se ne sono adempiuti i presupposti, segnatamente quello del difetto di manutenzione (consid. 3, in fine).</w:t>
      </w:r>
    </w:p>
    <w:p>
      <w:pPr>
        <w:pStyle w:val="Heading2"/>
      </w:pPr>
      <w:r>
        <w:t>Erwägungen</w:t>
      </w:r>
    </w:p>
    <w:p>
      <w:r>
        <w:rPr>
          <w:b/>
        </w:rPr>
        <w:t>E. 1</w:t>
      </w:r>
    </w:p>
    <w:p>
      <w:r>
        <w:t>Selon l'art. 33 LCA, l'assureur répond de tous les événements qui présentent le caractère du risque contre les conséquences duquel l'assurance a été conclue, à moins que le contrat n'exclue certains événements d'une manière précise, non équivoque. En l'espèce, les intimés ont assuré la recourante "contre les prétentions découlant de sa responsabilité civile légale d'après le droit suisse" (police no 656/67 GJ 50 148; police no 67 GJ 50 147, selon laquelle sont seuls assurés les dommages prévus par la première police). "L'assurance est valable pour des prétentions en responsabilité civile ensuite de lésions corporelles avec ou sans suite mortelle ainsi que pour des dégâts matériels, dans la mesure où ils sont causés directement par des événements se produisant pendant la durée de l'assurance." (police no 656/67 GJ 50 148). L'assurance s'étend "aux dommages aux biens et accidents aux personnes découlant des différentes activités des assurés en Suisse" (même police, ch. 4 du schéma). Sont en particulier exclues des deux assurances "les prétentions découlant de travaux de minage ... ainsi que de glissements de terrains" (ch. 9 de la clause "Exceptions" de la police no 656/67 GJ 50 148, qui vaut pour l'autre police). Le Tribunal cantonal considère que cette clause est claire, sans ambiguïté et qu'elle n'a pas besoin d'être interprétée. A son avis, les dommages dont la recourante réclame la couverture sont consécutifs à un glissement de terrain et, partant, sont exclus de l'assurance. Cette question n'a toutefois pas à être résolue dès l'abord. Il importe en effet de déterminer préalablement si, d'une manière générale, la responsabilité civile de la recourante est engagée et cela, plus précisément, en vertu des art. 58 et 59 CO, seuls en cause ici.</w:t>
      </w:r>
    </w:p>
    <w:p>
      <w:r>
        <w:rPr>
          <w:b/>
        </w:rPr>
        <w:t>E. 2</w:t>
      </w:r>
    </w:p>
    <w:p>
      <w:r>
        <w:t>En l'occurrence, il n'est pas reproché à la recourante d'avoir commis une faute ni un acte illicite. Elle ne saurait donc être astreinte à des dommages-intérêts envers ses locataires ni en vertu de l'art. 255 al. 2 CO, ni en vertu des art. 41 ss. CO qui, s'ils avaient trouvé application, auraient fondé au premier chef sa responsabilité. Par ailleurs, les locataires n'ont subi aucun dommage matériel ou corporel, du fait des fissures apparues dans l'immeuble directement, si bien que l'hypothèse envisagée BGE 98 II 319 S. 324 à l'art. 58 CO n'est, tout au moins à cet égard, pas réalisée (BECKER, no 18 ad art. 58 CO, OSER/SCHÖNENBERGER, no 9 ad art. 58 CO).</w:t>
      </w:r>
    </w:p>
    <w:p>
      <w:r>
        <w:rPr>
          <w:b/>
        </w:rPr>
        <w:t>E. 3</w:t>
      </w:r>
    </w:p>
    <w:p>
      <w:r>
        <w:t>En revanche, aux termes de l'art. 59 CO, "celui qui est menacé d'un dommage provenant du bâtiment ou de l'ouvrage d'autrui a le droit d'exiger du propriétaire que celui-ci prenne les mesures nécessaires pour écarter le danger". Cette disposition est liée à l'art. 58 CO, elle institue une action supplémentaire qui a pour objet des mesures de sûreté tendant à assurer l'intégrité des gens et des choses (OSER/SCHÖNENBERGER, nos 1 et 4 ad art. 59 CO; BECKER, nos 1 et 4 ad art. 59 CO; OFTINGER, Haftpflichtrecht II/1 p. 17 litt. c). Par son texte même - cf. également la note marginale - elle trouve application avant que le dommage ne soit survenu, et ce indépendamment d'une faute du propriétaire de l'ouvrage. Il convient cependant d'en examiner la portée. Ce problème, qui n'a fait jusqu'ici l'objet d'aucun précédent, n'a pas été résolu de façon explicite par la doctrine. Tout au plus est-il admis d'une manière générale que le propriétaire peut être astreint à prendre les mesures propres à écarter le danger (auteurs cités, GUHL, 6e éd. p. 194). Considéré comme une disposition complémentaire de l'art. 58, l'art. 59 CO ne peut fonder un droit spécifique des intéressés à exiger du propriétaire qu'il prenne toutes les précautions suggérées par l'éventualité d'un risque. Il ouvre seulement la voie aux mesures d'urgence nécessaires pour prévenir un dommage imminent provenant d'un bâtiment ou d'un ouvrage. In casu, ce but a été atteint par l'évacuation sans délai des locaux. Cela a été fait grâce à la diligence des autorités communales et à celle de la recourante. Rien de plus ne pouvait être exigé de cette dernière sur la base de l'art. 59 CO. Quant à savoir si le dommage financier qu'auraient éprouvé les locataires s'ils avaient dû assumer eux-mêmes les frais d'hébergement à l'hôtel et celui qui résulte du fait qu'ils ont dû trouver de nouveaux appartements doivent être supportés par la recourante, c'est une question qui relève éventuellement de l'application de l'art. 58 CO. Toutefois, il ressort des faits souverainement établis par l'autorité cantonale (art. 55 al. 1 litt. c et 63 al. 2 OJ) que ce préjudice n'est pas la conséquence d'un vice de construction ou d'un défaut d'entretien des bâtiments BGE 98 II 319 S. 325 évacués, mais bien plutôt celle des travaux entrepris sur un fonds voisin. Par ailleurs, il n'est pas allégué que la recourante aurait tardé à remettre ses immeubles en état dans une mesure telle qu'un défaut d'entretien lui serait imputable de ce fait. La responsabilité civile de la recourante n'étant pas engagée, les frais qu'elle a eus pour l'hébergement de ses locataires ne sont pas couverts par les assurances conclues avec les intimés.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