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294</w:t>
      </w:r>
    </w:p>
    <w:p>
      <w:r>
        <w:t>Bundesgericht (BGE), 1972-01-01, DE</w:t>
      </w:r>
    </w:p>
    <w:p>
      <w:r>
        <w:rPr>
          <w:b/>
        </w:rPr>
        <w:t xml:space="preserve">Quelle: </w:t>
      </w:r>
      <w:r>
        <w:t>https://mcp.opencaselaw.ch/entscheid/bge_BGE_98_II_294</w:t>
      </w:r>
    </w:p>
    <w:p>
      <w:r>
        <w:t>FR: ATF 98 II 294</w:t>
      </w:r>
    </w:p>
    <w:p>
      <w:r>
        <w:t>IT: DTF 98 II 294</w:t>
      </w:r>
    </w:p>
    <w:p>
      <w:pPr>
        <w:pStyle w:val="Heading2"/>
      </w:pPr>
      <w:r>
        <w:t>Regeste</w:t>
      </w:r>
    </w:p>
    <w:p>
      <w:r>
        <w:t>Regeste Erstreckung des Mietverhältnisses bei Verkauf der Mietsache. 1. Art. 259 Abs. 1 und 2 OR. Kündigung des Mietverhältnisses durch den Verkäufer und den Käufer, bevor dieser als Eigentümer im Grundbuch eingetragen wird; Eintritt des Erwerbers in das Mietverhältnis (Erw. 4). 2. Art. 267c lit. c OR. Bei Eintritt des Käufers in das Mietverhältnis beurteilt sich die Frage des Eigenbedarfs nach den Bedürfnissen des neuen Vermieters; Beweis. Offen gelassen, ob in analoger Anwendung von Art. 20 Abs. 2 OR eine Teilerstreckung des Mietverhältnisses möglich wäre (Erw. 6-8).</w:t>
      </w:r>
    </w:p>
    <w:p>
      <w:r>
        <w:t>Regeste Prolongation du bail en cas de vente de la chose louée. 1. Art. 259 al. 1 et 2 CO. Résiliation du bail par le vendeur et l'acheteur, avant l'inscription de ce dernier comme propriétaire au registre foncier; continuation du bail par l'acquéreur (consid. 4). 2. Art. 267c litt. c CO. En cas de continuation du bail par l'acheteur, la question de savoir si le propriétaire a besoin des locaux doit être jugée d'après les besoins du nouveau bailleur; preuve. Une prolongation partielle du bail serait-elle possible par application analogique de l'art. 20 al. 2 CO? Question laissée ouverte (consid. 6-8).</w:t>
      </w:r>
    </w:p>
    <w:p>
      <w:r>
        <w:t>Regesto Protrazione della locazione nel caso di vendita della cosa locata. 1. Art. 259 cpv. 1 e 2 CO. Disdetta del rapporto di locazione da parte del venditore e del compratore, prima che quest'ultimo sia iscritto nel registro fondario come proprietario; subingresso del compratore nel rapporto di locazione (consid. 4). 2. Art. 267c lett. c CO. Nel caso di subingresso del compratore nel rapporto di locazione, la questione di sapere se il proprietario necessita per proprio uso da locali comperati si giudica sulla base dei bisogni del nuovo proprietario; prove. La questione del prolungamento parziale della locazione in applicazione analogica dell'art. 20 cpv. 2 CO resta insoluta (consid. 6-8).</w:t>
      </w:r>
    </w:p>
    <w:p>
      <w:pPr>
        <w:pStyle w:val="Heading2"/>
      </w:pPr>
      <w:r>
        <w:t>Erwägungen</w:t>
      </w:r>
    </w:p>
    <w:p>
      <w:r>
        <w:rPr>
          <w:b/>
        </w:rPr>
        <w:t>E. 4</w:t>
      </w:r>
    </w:p>
    <w:p>
      <w:r>
        <w:t>Es kann offen bleiben, ob der Erwerber der Mietsache, der von der Möglichkeit der Kündigung auf das nächste ortsübliche Ziel ( Art. 259 Abs. 2 OR ) nicht Gebrauch machen will, den Eintritt in das Mietverhältnis eigenmächtig auf einen BGE 98 II 294 S. 296 beliebigen späteren Zeitpunkt beschränken darf. Denn der Wille, das Mietverhältnis nicht über den 30. Juni 1972 hinaus fortzusetzen, wurde dem Gesuchsteller am 22. Dezember 1971 nicht nur vom Gesuchsgegner, sondern auch von den Veräusserern der Mietsache kundgegeben. Die Kündigung seitens der Erben Stanka, die damals noch Eigentümer der Liegenschaft waren und die Stellung von Vermietern hatten - und übrigens auch nach dem 31. Dezember 1971 noch an den Vertrag gebunden blieben ( Art. 259 Abs. 1 OR ; BGE 82 II 529 ) - war gültig. Sie hatte zur Folge, dass der Gesuchsteller am 31. Dezember 1971 beim Übergang der Mietsache auf den Gesuchsgegner nur noch im Genuss eines auf den 30. Juni 1972 gekündeten Mietverhältnisses stand. Nur in ein solches ist der Gesuchsgegner eingetreten. Die Beschränkung seines Eintrittes für die Zeit bis zum 30. Juni 1972 war deshalb gültig. Das Begehren des Gesuchstellers, die "Kündigung" vom 22. Dezember 1971 "aufzuheben", eventuell festzustellen, dass sie "nichtig und rechtsunwirksam" sei, ist daher abzuweisen. Bei diesem Ergebnis braucht nicht entschieden zu werden, ob der Gesuchsgegner das Mietverhältnis schon kündigen durfte, bevor er Eigentümer der Liegenschaft war.</w:t>
      </w:r>
    </w:p>
    <w:p>
      <w:r>
        <w:rPr>
          <w:b/>
        </w:rPr>
        <w:t>E. 6</w:t>
      </w:r>
    </w:p>
    <w:p>
      <w:r>
        <w:t>Das Mietverhältnis darf nicht erstreckt werden, "bei Eigenbedarf des Vermieters für sich, nahe Verwandte oder Verschwägerte" ( Art. 267c lit. c OR ). Der Gesuchsteller macht geltend, ob Eigenbedarf des Vermieters vorliege, beurteile sich nach den Bedürfnissen der Erben Stanka, nicht nach den Bedürfnissen des Gesuchsgegners, denn der Inhalt des Mietvertrages habe nicht gegen den Willen des Gesuchstellers geändert werden können und sei auch durch Art. 259 OR nicht geändert worden; könnte der Gesuchsgegner Eigenbedarf anrufen, so wäre die Lage des Gesuchstellers als Vertragspartei verschlechtert und könnten die Mieterschutzbestimmungen umgangen werden; der Sinn und Zweck dieser Normen verbiete dem Erwerber der Liegenschaft, sich auf seine eigenen Bedürfnisse zu berufen. Der Anspruch auf Erstreckung des Mietverhältnisses, den Art. 267a gewährt und Art. 267c OR in gewissen Fällen ausschliesst, beruht nicht auf einer Vereinbarung zwischen dem Vermieter und dem Mieter, sondern ist die gesetzliche Folge des Bestehens eines Mietverhältnisses. Im Falle eines Vertragsüberganges braucht daher der Mieter nicht einverstanden zu BGE 98 II 294 S. 297 sein, dass sich die Frage des Eigenbedarfes nach den Bedürfnissen des neuen Vermieters statt wie bisher nach denen des ursprünglichen beurteile. Er kann nur mit dem Übergang des Mietverhältnisses als Ganzes einverstanden sein oder ihn als Ganzes ablehnen. Erhebt er gegenüber dem Erwerber der Mietsache Anspruch auf Fortsetzung des Mietverhältnisses, so hat er dem Übergang zugestimmt und hat damit den Erwerber als neuen Vermieter anerkannt. Damit hat er gelten zu lassen, dass die Frage der Zulässigkeit der Erstreckung der Miete nach den Verhältnissen beurteilt werde, die durch die Beziehungen zum neuen Vermieter geschaffen wurden. Das Recht des Mieters, einen Mietvertrag erstrecken zu lassen, bringt eine Beschränkung des Verfügungsrechtes über das Eigentum mit sich (BBl 1968 II 858). Es richtet sich immer gegen den Eigentümer. Die Rechte eines Dritten, der nicht mehr Eigentümer ist, werden durch dasselbe in keiner Weise mehr betroffen. Mit der Übertragung der Mietsache auf den neuen Eigentümer hört der Eigenbedarf des Veräusserers für sich selbst auf und kann auch für seine nahen Verwandten oder Verschwägerten keine Rolle mehr spielen. Nur noch die Bedürfnisse des neuen Eigentümers für sich, seine nahen Verwandten oder Verschwägerten sind massgebend dafür, ob der Eingriff in das Eigentum, die Erstreckung des Mietverhältnisses, sich rechtfertige oder nicht. Der Umstand, dass der Veräusserer der Sache gemäss Art. 259 Abs. 1 OR zur Erfüllung des Vertrages oder zu Schadenersatz verpflichtet bleibt, ändert nichts. Diese Verpflichtung reicht nicht weiter als das vertraglich abgegebene Versprechen des Veräusserers. Sie kann nicht gemäss Art. 267a ff. erstreckt werden, und wenn das Mietverhältnis gegenüber dem Erwerber der Sache erstreckt wird, haftet der Veräusserer für die Erfüllung während der Dauer dieser Erstreckung nicht. Zu einer andern Beurteilung gibt auch der Einwand nicht Anlass, die Mieterschutzbestimmungen könnten umgangen werden, wenn die Frage des Eigenbedarfes nicht nach den Bedürfnissen des Veräusserers beurteilt würde. Diese Normen wollen den Art. 259 OR und das Recht des Eigentümers, die Sache zu veräussern, nicht aufheben. Der Mieter hat die Veräusserung und ihre Folgen hinzunehmen. Wenn und soweit der Erwerber vertraglich in das Mietverhältnis eingetreten ist oder den Mieter kraft des Art. 259 Abs. 2 in der Miete belassen BGE 98 II 294 S. 298 muss, hat der Mieter ihn als neuen Vermieter gelten zu lassen und kann ihm gegenüber allenfalls die in Art. 267a ff. vorgesehene Erstreckung verlangen. Darin erschöpft sich sein Schutzrecht, wenn die Veräusserung der Mietsache gültig ist. In Fällen blosser Simulation ist die Veräusserung dagegen auch dem Mieter gegenüber als ungültig zu behandeln und sind folglich dessen Schutzrechte wiederum nicht beeinträchtigt. Im vorliegenden Falle ist Simulation jedoch weder festgestellt noch behauptet.</w:t>
      </w:r>
    </w:p>
    <w:p>
      <w:r>
        <w:rPr>
          <w:b/>
        </w:rPr>
        <w:t>E. 7</w:t>
      </w:r>
    </w:p>
    <w:p>
      <w:r>
        <w:t>Der Gesuchsteller bestreitet den Eigenbedarf des Gesuchsgegners mit dem Einwand, die kantonalen Instanzen hätten über dessen Behauptung nicht Beweis geführt. Wenn dies zuträfe, wäre Art. 8 ZGB verletzt, der dem Richter verbietet, die Behauptung einer Partei unbesehen als wahr hinzunehmen ( BGE 43 II 559 , BGE 46 II 348 , BGE 71 II 127 , BGE 75 II 103 ). Die Feststellung des Appellationshofes, der Gesuchsgegner benötige das Ladenlokal als Kunsthandlung für eigene Bedürfnisse und den ersten und zweiten Stock wolle er langjährigen Mitarbeitern zur Verfügung stellen, auf deren Dienste er angewiesen sei, beruht jedoch nicht auf blosser Hinnahme einer unüberprüften Parteibehauptung, sondern auf einer Beweisführung, nämlich auf Aussagen des Gesuchsgegners im Parteiverhör, das vom kantonalen Prozessrecht auch im summarischen Verfahren als Beweismittel anerkannt wird ( Art. 212, 273 ff., 306 ZPO ). Da das Bundesgericht als Berufungsinstanz an die Feststellungen des kantonalen Richters über tatsächliche Verhältnisse gebunden ist, wenn sie nicht in Verletzung bundesrechtlicher Beweisvorschriften zustande gekommen sind oder offensichtlich auf Versehen beruhen (Art. 43 Abs. 3, 55 Abs. 1 lit. c, 63 Abs. 2 OG), hat es diese Aussagen nicht auf ihre Glaubwürdigkeit hin zu prüfen.</w:t>
      </w:r>
    </w:p>
    <w:p>
      <w:r>
        <w:rPr>
          <w:b/>
        </w:rPr>
        <w:t>E. 8</w:t>
      </w:r>
    </w:p>
    <w:p>
      <w:r>
        <w:t>Dass der Appellationshof den Rechtsbegriff des Eigenbedarfs des Gesuchsgegners verkannt habe, macht der Gesuchsteller nicht geltend. Er verlangt auch nicht, dass das Mietverhältnis wenigstens in bezug auf den ersten und zweiten Stock zu erstrecken sei, weil der Gesuchsgegner diese Teile der Liegenschaft nicht persönlich benützen, sondern langjährigen Mitarbeitern, auf deren Dienste er angewiesen ist, zur Verfügung stellen will. Nach den Akten ist vielmehr anzunehmen, dass er das Mietverhältnis nur in bezug auf die ganze Mietsache oder dann überhaupt nicht erstreckt wissen will, weil er vor BGE 98 II 294 S. 299 allem am Ladenlokal interessiert und eine Aufteilung der Räumlichkeiten, wie der Appellationshof feststellt, nicht möglich ist. Das Bundesgericht hat daher nicht zu entscheiden, ob in analoger Anwendung von Art. 20 Abs. 2 OR eine Teilerstreckung möglich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