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102</w:t>
      </w:r>
    </w:p>
    <w:p>
      <w:r>
        <w:t>Bundesgericht (BGE), 1972-01-01, DE</w:t>
      </w:r>
    </w:p>
    <w:p>
      <w:r>
        <w:rPr>
          <w:b/>
        </w:rPr>
        <w:t xml:space="preserve">Quelle: </w:t>
      </w:r>
      <w:r>
        <w:t>https://mcp.opencaselaw.ch/entscheid/bge_BGE_98_II_102</w:t>
      </w:r>
    </w:p>
    <w:p>
      <w:r>
        <w:t>FR: ATF 98 II 102</w:t>
      </w:r>
    </w:p>
    <w:p>
      <w:r>
        <w:t>IT: DTF 98 II 102</w:t>
      </w:r>
    </w:p>
    <w:p>
      <w:pPr>
        <w:pStyle w:val="Heading2"/>
      </w:pPr>
      <w:r>
        <w:t>Regeste</w:t>
      </w:r>
    </w:p>
    <w:p>
      <w:r>
        <w:t>Regeste Unechte Solidarität (Art. 51 OR). Voraussetzungen, unter denen das Mitverschulden eines Dritten die Haftung des Schädigers ausschliesst oder mindert (Bestätigung der Rechtsprechung).</w:t>
      </w:r>
    </w:p>
    <w:p>
      <w:r>
        <w:t>Regeste Solidarité imparfaite (art. 51 CO). Conditions auxquelles la faute concurrente d'un tiers exclut ou diminue la responsabilité de l'auteur du dommage (confirmation de la jurisprudence).</w:t>
      </w:r>
    </w:p>
    <w:p>
      <w:r>
        <w:t>Regesto Solidarità imperfetta (art. 51 CO). Presupposti perchè la colpa concorrente di un terzo escluda o riduca la responsabilità dell'autore del danno (conferma della giurisprudenza).</w:t>
      </w:r>
    </w:p>
    <w:p>
      <w:pPr>
        <w:pStyle w:val="Heading2"/>
      </w:pPr>
      <w:r>
        <w:t>Erwägungen</w:t>
      </w:r>
    </w:p>
    <w:p>
      <w:r>
        <w:rPr>
          <w:b/>
        </w:rPr>
        <w:t>E. 4</w:t>
      </w:r>
    </w:p>
    <w:p>
      <w:r>
        <w:t>Das Obergericht macht den Bauleitern Kruck und Knopfli Vorwürfe, die seines Erachtens das Verschulden des Beklagten mindern und Grund zur Herabsetzung der Schadenersatzforderung des Klägers sein sollen. Der Kläger wendet ein, er habe für allfällige Fehler von Kruck und Knopfli nicht einzustehen, weil sie unabhängige Unternehmer und dem Beklagten nicht übergeordnet gewesen seien, was gemäss BGE 93 II 322 zur Folge habe, dass sie und der Beklagte dem Kläger den Schaden solidarisch zu ersetzen hätten. In diesem Präjudiz hat das Bundesgericht es in der Tat abgelehnt, die Schadenersatzforderung des Bauherrn gegenüber dem Bauunternehmer wegen Mitverschuldens des bauleitenden Architekten herabzusetzen. Es führte aus, das Verschulden des Unternehmers werde durch jenes des Architekten nicht gemindert; beide hafteten dem Bauherrn unecht solidarisch für den ganzen Schaden. In einem später beurteilten Falle sah dann aber das Bundesgericht in dem mit der Ausarbeitung der Pläne, der Vergebung der Arbeiten und der Überwachung der Bauausführung betrauten Architekten eine Hilfsperson des Bauherrn, für deren zur Entstehung des Schadens beitragendes Verhalten der geschädigte Bauherr gegenüber dem Unternehmer gemäss Art. 101 OR einzustehen habe, und zwar unbekümmert BGE 98 II 102 S. 104 um die Natur des Rechtsverhältnisses zwischen dem Bauherrn und dem Architekten ( BGE 95 II 53 ). Nach dieser Rechtsprechung hätte ein für den Schaden kausales Verschulden der Ingenieure Kruck und Knopfli gegenüber dem Beklagten in jeder Beziehung als Selbstverschulden des Klägers zu gelten, wenn Kruck und Knopfli die vom Beklagten verrichtete Arbeit zu überwachen gehabt hätten, dem Beklagten also vorgesetzt gewesen wären. Das trifft indessen nicht zu. Sie waren Bauleiter nur im Verhältnis zum Unternehmer Hagmann, der das Objekt 38 zu bauen hatte. Allerdings haben sie den Kläger zum Teil auch gegenüber dem Beklagten vertreten. Das geschah aber nur beim Abschluss des Vertrages, indem sie im Namen des Klägers den Techniker des Beklagten um die Absteckung der Strassenachse ersuchten. Wenn sie beim Abschluss dieses Vertrages einen für den Schaden kausalen Fehler begangen hätten, wäre er dem Kläger anzurechnen. Für andere Fehler, nämlich solche, die ihnen allenfalls bei der Planung oder Überwachung der Bauarbeiten Hagmanns unterlaufen sind und zum Schaden beigetragen haben, hat der Kläger dagegen gegenüber dem Beklagten nicht einzustehen. Insoweit befanden sich Kruck und Knopfli in der Stellung Dritter und gilt für sie der von der Rechtsprechung seit langem entwickelte Satz, dass das Mitverschulden eines Dritten den Schädiger nur entlastet, wenn es den ursächlichen Zusammenhang zwischen seinem Verhalten und dem Schaden als inadäquat erscheinen lässt oder wenn und soweit es sein Verschulden mindert ( BGE 41 II 228 , BGE 55 II 88 , BGE 56 II 401 Erw. 5, BGE 59 II 43 /44, 368 f., BGE 60 II 155 , BGE 64 II 307 , BGE 66 II 118 f., BGE 89 II 123 , BGE 93 II 322 ).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