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67</w:t>
      </w:r>
    </w:p>
    <w:p>
      <w:r>
        <w:t>Bundesgericht (BGE), 1972-01-01, IT</w:t>
      </w:r>
    </w:p>
    <w:p>
      <w:r>
        <w:rPr>
          <w:b/>
        </w:rPr>
        <w:t xml:space="preserve">Quelle: </w:t>
      </w:r>
      <w:r>
        <w:t>https://mcp.opencaselaw.ch/entscheid/bge_BGE_98_III_67</w:t>
      </w:r>
    </w:p>
    <w:p>
      <w:r>
        <w:t>FR: ATF 98 III 67</w:t>
      </w:r>
    </w:p>
    <w:p>
      <w:r>
        <w:t>IT: DTF 98 III 67</w:t>
      </w:r>
    </w:p>
    <w:p>
      <w:pPr>
        <w:pStyle w:val="Heading2"/>
      </w:pPr>
      <w:r>
        <w:t>Regeste</w:t>
      </w:r>
    </w:p>
    <w:p>
      <w:r>
        <w:t>Regeste Art. 250 Abs. 3 SchKG, Art. 65 KV. Kollokationsplan: Verbot der Abänderung nach Anhebung einer Klage; Anwendung im summarischen Verfahren. 1. Zur Bestimmung des Prozessgewinns, der nach Art. 250 Abs. 3 SchKG dem Gläubiger zukommt, welcher den Kollokationsplan mit Erfolg anficht, ist notwendig, dass dieser Plan während der Rechtshängigkeit des Kollokationsprozesses nicht abgeändert wird (Erw. 2). 2. Art. 65 KV ist auch anwendbar, wenn ein Gläubiger nicht gegen die Masse, sondern gegen einen andern Gläubiger klagt. In diesem Falle kann die Konkursverwaltung, da sie nicht Partei ist, die Klage nicht im Sinne von Art. 66 KV anerkennen (Erw. 1). 3. Ein rechtskräftiger Kollokationsplan darf nur aus schwerwiegenden Gründen abgeändert werden (Erw. 3). 4. Diese Regeln gelten auch für das summarische Verfahren.</w:t>
      </w:r>
    </w:p>
    <w:p>
      <w:r>
        <w:t>Regeste Art. 250 al. 3 LP, art. 65 OOF. Etat de collocation; interdiction de le modifier lorsqu'un procès est pendant; application de cette règle dans une procédure sommaire. 1. Pour pouvoir déterminer le gain revenant, en vertu de l'art. 250 al. 3 LP, au créancier qui attaque avec succès l'état de collocation, il est nécessaire que celui-ci ne soit pas modifié pendant le procès (consid. 2). 2. L'art. 65 OOF s'applique aussi dans le cas où un créancier procède non pas contre la masse, mais contre un autre créancier. Dans ce dernier cas, n'étant pas partie, l'administration de la faillite ne peut reconnaître la créance au sens de l'art. 66 OOF (consid. 1). 3. 3. modification de l'état de collocation passé en force n'est admissible que pour des motifs graves (consid. 3). 4. Les règles ci-dessus s'appliquent aussi à une faillite liquidée en procédure sommaire.</w:t>
      </w:r>
    </w:p>
    <w:p>
      <w:r>
        <w:t>Regesto Art. 250 cpv. 3 LEF, art. 65 R UF. Graduatoria: divieto di modificazione in pendenza di giudizio; applicazione nella procedura sommaria. 1. Per determinare il premio riservato dall'art. 250 cpv. 3 LEF al creditore che impugni con successo la graduatoria è necessario che questa non sia modificata in pendenza di giudizio (consid. 2). 2. L'art. 65 RUF si applica anche nel caso in cui un creditore proceda in giudizio non contro la massa, bensì contro un altro creditore. In questo caso, non essendo parte, l'amministrazione del fallimento non può riconoscere la domanda giudiziale ai sensi dell'art. 66 RUF (consid. 1). 3. La modifica d'una graduatoria definitiva è possibile solo per gravi ragioni (consid. 3). 4. Le regole di cui sopra sono applicabili anche nella procedura sommaria.</w:t>
      </w:r>
    </w:p>
    <w:p>
      <w:pPr>
        <w:pStyle w:val="Heading2"/>
      </w:pPr>
      <w:r>
        <w:t>Erwägungen</w:t>
      </w:r>
    </w:p>
    <w:p>
      <w:r>
        <w:rPr>
          <w:b/>
        </w:rPr>
        <w:t>E. 1</w:t>
      </w:r>
    </w:p>
    <w:p>
      <w:r>
        <w:t>La liquidazione che ha luogo attualmente avanti l'Ufficio di Mendrisio e che ha per oggetto l'immobile di proprietà della società Lema SA deve avvenire secondo le norme della procedura sommaria di fallimento, come il Tribunale federale l'ha stabilito nella sua sentenza RU 97 III 38 consid. 3. Ne segue che sono applicabili l'art. 231 LEF e l'art. 96 RUF, i quali regolano detta procedura. In virtù dell'art. 70 RUF, richiamato espressamente dall'art. 96 RUF, la graduatoria deve essere allestita anche se il fallimento viene liquidato secondo la procedura sommaria (v. anche RU 56 BGE 98 III 67 S. 69 III 121). Per effetto del rinvio disposto dall'ultima parte di detto art. 70 RUF, si applicano alla procedura sommaria parimenti gli art. 241-251 LEF, gli art. 55-70 RUF e gli art. 122 ss. RFF; l'art. 122 RFF statuisce espressamente che per la realizzazione dei fondi nella procedura di fallimento si applicano le disposizioni del RUF. A mente dell'art. 250 cpv. 3 LEF, che, da quanto si è detto, risulta applicabile alla fattispecie, il creditore che contesta con successo con azione in giudizio l'ammissione di altri creditoro il grado ad essi accordato, può prevalersi per il soddisfacimento dell'intero suo credito, comprese le spese processualidell'importo stralciato, mentre l'eventuale eccedenza è ripartita in base alla graduatoria rettificata. Scopo del ricorso presentato dalla Massa fallimentare Interform SA è la salvaguardia di questo diritto, che è un corrispettivo della diligenza del creditore che ha assunto, a proprio rischio, un'iniziativa giudiziaria coronata poi da successo. A tutela di tale diritto, l'art. 65 RUF prevede che, durante il termine d'opposizione alla graduatoria, le decisioni che già vi fossero iscritte possono essere modificate dall'amministrazione solo fino a che non sia stato intentato alcun processo contro la massa. Questa disposizione si applica, malgrado il suo testo troppo restrittivo, anche al caso di un processo promosso da un creditore contro un altro (RU 38 I 745). Nel caso in esame l'Ufficio di Mendrisio ha violato la menzionata disposizione. Nè può esso giovarsi dell'argomento espresso dall'autorità cantonale di vigilanza, per cui l'amministrazione del fallimento può, ai sensi dell'art. 66 RUF, riconoscere le domande presentate giudizialmente contro di essa; infatti nella specie non si tratta di una lite in materia di graduatoria in corso tra un creditore e la massa fallimentare (quale sussiste allorchè il primo sostiene che il suo credito è stato ingiustamente respinto, ridotto o collocato in un grado inferiore al dovuto, v. art. 250, cpv. 2, prima frase), bensì di una lite tra due creditori, di cui uno contesta il diritto dell'altro di veder collocato in graduatoria un determinato ammontare d'interessi. In tale controversia l'azione è diretta non contro la massa, ma contro l'altro creditore, sicchè la massa non può riconoscere la domanda presentata contro quest'ultimo.</w:t>
      </w:r>
    </w:p>
    <w:p>
      <w:r>
        <w:rPr>
          <w:b/>
        </w:rPr>
        <w:t>E. 2</w:t>
      </w:r>
    </w:p>
    <w:p>
      <w:r>
        <w:t>Affinchè possa essere determinato ed assegnato il vantaggio finanziario riconosciuto dalla legge al creditore che BGE 98 III 67 S. 70 abbia agito con successo giudizialmente contro un altro creditore in relazione con la graduatoria, è indispensabile che l'incanto si fondi sulla graduatoria originaria, ossia su quella che ha dato motivo alla controversia. Infatti, per poter versare al creditore vittorioso la parte del ricavo dell'incanto spetantegli, dev'essere preteso il pagamento in contanti dei debiti garantiti da pegno contestati con successo (RU 49 III 106-107). Il prelevamento dal ricavo dell'incanto del supplemento a cui il menzionato creditore ha diritto avviene poi in base alla graduatoria rettificata al momento del riparto (cfr. anche FRITZSCHE 2a ediz. vol. 2 p. 150 nota 219; sul calcolo dell'ammontare supplementare spettante al creditore vittorioso e sulla procedura che deve osservare l'ufficio o l'amministrazione fallimentare, cfr. RU 50 III 59 e 81 III 76-77).</w:t>
      </w:r>
    </w:p>
    <w:p>
      <w:r>
        <w:rPr>
          <w:b/>
        </w:rPr>
        <w:t>E. 3</w:t>
      </w:r>
    </w:p>
    <w:p>
      <w:r>
        <w:t>L'impugnata decisione giustifica la modificazione della graduatoria originaria effettuata dall'Ufficio di Mendrisio anche riferendosi alla facoltà eccezionalmente riconosciuta dalla giurisprudenza all'ufficio di modificare una graduatoria definitiva (RU 96 III 78 consid. 3). I presupposti per un siffatto modo di procedere, riservato a casi del tutto particolari e nei quali esistono ragioni gravi che lo giustifichino, non sono manifestamente dati nella fattispecie, la quale non presenta alcun aspetto inconsueto di grande rilevanza, tale da rendere necessario il ricorso a questo mezzo estremo. Al contrario, il caso in esame non si distingue in nulla da quelli normali in cui un creditore prenda l'iniziativa di agire in giudizio per conseguire una modifica della graduatoria.</w:t>
      </w:r>
    </w:p>
    <w:p>
      <w:r>
        <w:rPr>
          <w:b/>
        </w:rPr>
        <w:t>E. 5</w:t>
      </w:r>
    </w:p>
    <w:p>
      <w:r>
        <w:t>Poiché il gravame della ricorrente è fondato, l'elenco degli oneri del 23 maggio 1972 deve essere annullato e sostituito da quello precedente del 10 aprile 1972; l'Ufficio dovrà annotarvi, ai sensi dell'art. 64 cpv. 2 RUF, l'esito dei processi relativi alla graduatoria (RU 49 III 107, in basso). Dispositiv Il Tribunale federale pronuncia: Il ricorso è accolto, l'elenco oneri del 23 maggio 1972 è annullato ed è ripristinato quello del 10 aprile 1972.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