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81 vom 1. Januar 1972</w:t>
      </w:r>
    </w:p>
    <w:p>
      <w:r>
        <w:t>Bundesgericht (BGE), 1972-01-01, DE</w:t>
      </w:r>
    </w:p>
    <w:p>
      <w:r>
        <w:rPr>
          <w:b/>
        </w:rPr>
        <w:t xml:space="preserve">Quelle: </w:t>
      </w:r>
      <w:r>
        <w:t>https://mcp.opencaselaw.ch/entscheid/bge_BGE_98_IB_81</w:t>
      </w:r>
    </w:p>
    <w:p>
      <w:r>
        <w:t>FR: BGE BGE 98 IB 81 du 1 janvier 1972</w:t>
      </w:r>
    </w:p>
    <w:p>
      <w:r>
        <w:t>IT: BGE BGE 98 IB 81 del 1 gennaio 1972</w:t>
      </w:r>
    </w:p>
    <w:p>
      <w:pPr>
        <w:pStyle w:val="Heading2"/>
      </w:pPr>
      <w:r>
        <w:t>Regeste</w:t>
      </w:r>
    </w:p>
    <w:p>
      <w:r>
        <w:t>Regeste Erwerb des Bürgerrechts von Gesetzes wegen; analoge Anwendung des Art. 5 Abs. 1 BüG. Das eheliche Kind eines ausländischen Vaters und einer schweizerischen Mutter erwirbt - obschon die objektiven Voraussetzungen des Art. 5 Abs. 1 BüG nicht erfüllt sind - von Geburt an das Kantons- und Gemeindebürgerrecht der Mutter und damit das Schweizerbürgerrecht, wenn seine Situation jener eines Kindes gleichkommt, das von Geburt an eine andere Staatsangehörigkeit nicht erwerben kann.</w:t>
      </w:r>
    </w:p>
    <w:p>
      <w:r>
        <w:t>Regeste Acquisition de la nationalité de par la loi; application par analogie de l'art. 5 al. 1 LN. L'enfant légitime d'un père étranger et d'une mère suisse acquiert - bien que les conditions objectives de l'art. 5 al. 1 LN ne soient pas remplies - dès la naissance le droit de cité cantonal et communal de la mère et partant la nationalité suisse, lorsque sa situation équivaut à celle d'un enfant qui ne peut acquérir dès la naissance une autre nationalité.</w:t>
      </w:r>
    </w:p>
    <w:p>
      <w:r>
        <w:t>Regesto Acquisto della cittadinanza per legge; applicazione analogetica dell'art. 5 cpv. 1 LCit. Il figlio legittimo di un padre straniero e di una madre svizzera acquista - sebbene i requisiti oggettivi dell'art. 5 cpv. 1 LCit. non siano adempiuti - già dalla nascita la cittadinanza cantonale e comunale della madre, e quindi la cittadinanza svizzera, allorchè la situazione equivale a quella di un figlio che non può acquisire dalla nascita un'altra cittadinanza.</w:t>
      </w:r>
    </w:p>
    <w:p>
      <w:pPr>
        <w:pStyle w:val="Heading2"/>
      </w:pPr>
      <w:r>
        <w:t>Erwägungen</w:t>
      </w:r>
    </w:p>
    <w:p>
      <w:r>
        <w:rPr>
          <w:b/>
        </w:rPr>
        <w:t>E. 1</w:t>
      </w:r>
    </w:p>
    <w:p>
      <w:r>
        <w:t>(Eintretensfrage).</w:t>
      </w:r>
    </w:p>
    <w:p>
      <w:r>
        <w:rPr>
          <w:b/>
        </w:rPr>
        <w:t>E. 2</w:t>
      </w:r>
    </w:p>
    <w:p>
      <w:r>
        <w:t>Art. 5 Abs. 1 BüG bestimmt, dass das eheliche Kind eines ausländischen Vaters und einer schweizerischen Mutter von Geburt an das Kantons- und Gemeindebürgerrecht der BGE 98 Ib 81 S. 83 Mutter und damit das Schweizerbürgerrecht erwirbt, "wenn es nicht von Geburt an eine andere Staatsangehörigkeit erwerben kann". Bei der Schaffung des neuen Bürgerrechtsgesetzes wurde darüber diskutiert, ob die Bestimmungen, welche wie der zitierte Art. 5 Abs. 1 die Staatenlosigkeit vermeiden wollen, nur anzuwenden seien, wenn eine rechtliche Staatenlosigkeit eintritt oder ob auch die tatsächliche Staatenlosigkeit - so bei Schriftenlosigkeit oder bei Abbruch der Beziehungen mit dem frühern Heimatstaat ohne formelle Ausbürgerung - entsprechende Rechtswirkungen in unserer Ordnung des Bürgerrechts haben soll. Der Vorschlag der Expertenkommission wollte auch die tatsächliche Staatenlosigkeit berücksichtigen; der Bundesrat hatte dagegen Bedenken, weil sich wohl kaum je eindeutig umschreiben lasse, was unter tatsächlicher Staatenlosigkeit verstanden werde (Botschaft des Bundesrates zum BüG vom 9. August 1951, BBl 1951 II 677). Das Parlament stimmte der bundesrätlichen Zurückhaltung zu. Favre führte als Referent im Nationalrat aus: "Il serait absolument inconcevable de faire dépendre l'acquisition de la nationalité suisse, qui demande sécurité et stabilité, de faits aussi incertains. Nous estimons donc qu'il y a lieu de s'en tenir à la notion juridique de l'apatridie telle qu'elle a été admise jusqu'à ce jour et de laisser aux tribunaux, dans les cas théoriquement douteux mais dans ces cas seulement, le soin d'apprécier libéralement cette notion" (StenBull NR 1951, S. 765). Dass das Abstellen auf die formale Rechtslage im konkreten Fall zu Härten führen kann, kommt auch in der Botschaft des Bundesrates zum BüG zum Ausdruck. Die strikte rechtliche Ausgangsposition wird durch folgenden Passus deutlich abgeschwächt: "Das hat unseres Erachtens nicht notwendigerweise zu bedeuten, dass im Einzelfall nach rein formaljuristischen Erwägungen entschieden werden müsse. Man denke beispielsweise daran, dass in der jüngern Vergangenheit einzelne Staaten bestimmte Personen, die formell die Staatsangehörigkeit noch besassen, zwar in jeder Hinsicht nicht mehr als eigene Staatsangehörige behandelten, ihnen aber trotzdem nicht die in solchen Fällen oft als Wohltat empfundene Erklärung über den Entzug der Staatsangehörigkeit abgaben. Bundesgericht und Bundesrat werden in solchen Fällen jemanden als staatenlos im Sinne der Bestimmungen des Entwurfes betrachten dürfen. Dies schiene BGE 98 Ib 81 S. 84 uns einer vertretbaren, vernünftigen Rechtsanwendung zu entsprechen und würde gleichzeitig gestatten, besonders stossende Einzelfälle angemessen zu ordnen" (a.a.O. S. 677). Diesen Äusserungen ist zu entnehmen, dass der Gesetzgeber bei der Schaffung des BüG gegen irgendeine gesetzliche Anerkennung der schwer definierbaren "tatsächlichen Staatenlosigkeit" Bedenken hatte und daher prinzipiell an der rechtlichen Staatenlosigkeit festhalten wollte, aber doch von der Praxis eine gewisse Grosszügigkeit bei der Feststellung des Vorhandenseins oder Fehlens einer Staatsangehörigkeit erwartete.</w:t>
      </w:r>
    </w:p>
    <w:p>
      <w:r>
        <w:rPr>
          <w:b/>
        </w:rPr>
        <w:t>E. 3</w:t>
      </w:r>
    </w:p>
    <w:p>
      <w:r>
        <w:t>nach dem 9. Mai 1945 das Gebiet der Polnischen Volksrepublik illegal verlassen hat,</w:t>
      </w:r>
    </w:p>
    <w:p>
      <w:r>
        <w:rPr>
          <w:b/>
        </w:rPr>
        <w:t>E. 4</w:t>
      </w:r>
    </w:p>
    <w:p>
      <w:r>
        <w:t>auf eine diesbezügliche Aufforderung des zuständigen Staatsorgans die Rückkehr nach Polen verweigert hat,</w:t>
      </w:r>
    </w:p>
    <w:p>
      <w:r>
        <w:rPr>
          <w:b/>
        </w:rPr>
        <w:t>E. 5</w:t>
      </w:r>
    </w:p>
    <w:p>
      <w:r>
        <w:t>sich der durch polnisches Recht vorgeschriebenen Erfüllung der Militärdienstpflicht entzieht, ..." Nachdem X. vor 15 Jahren aus Polen flüchtete, später an einer Exilzeitschrift und am Sender "Freies Europa" mitarbeitete, ist anzunehmen, dass die Voraussetzungen einer Ausbürgerung erfüllt wären. Trotzdem ist es nicht ausgeschlossen, dass Polen X. nie ausgebürgert hat und sein Kind die polnische Staatsangehörigkeit erwerben kann beziehungsweise erworben hat. Wiewohl daraus erhellt, dass bei einer derartigen Sachlage die objektiven Voraussetzungen des Art. 5 Abs. 1 BüG nicht erfüllt sind, befindet sich das Kind Z. im Ergebnis doch in einer Situation, die jener eines ehelichen Kindes eines ausländischen Vaters und einer schweizerischen Mutter, das von Geburt an eine andere Staatsangehörigkeit nicht erwerben kann, gleichkommt. Auf einen solchen Fall ist Art. 5 Abs. 1 - im Sinne der vom Gesetzgeber angestrebten Grosszügigkeit bei der Interpretation BGE 98 Ib 81 S. 85 dieser Bestimmung (vgl. Erw. 2) - analog anzuwenden. Das Kind Z. erwirbt demnach die Kantons- und Gemeindebürgerrechte seiner Mutter und damit das Schweizerbürgerrecht. Sollte es vor der Mündigkeit die fragliche Staatsangehörigkeit seines Vaters besitzen, verliert es das Schweizerbürgerrecht ( Art. 5 Abs. 2 BüG ); es verliert die Kantons- und Gemeindebürgerrechte seiner Mutter und erwirbt dasjenige seiner Vaters, wenn dieser vor der Mündigkeit des Kindes Schweizerbürger wird (daselbst Abs. 3). Zu diesem Ergebnis - allerdings mit anderer Begründung - ist auch der Regierungsrat des Kantons Basel-Stadt gelangt. Sein Entscheid ist mithin zu bestätigen und die Beschwerde des Eidg. Justiz- und Polizeidepartementes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