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484 vom 27. Oktober 1972</w:t>
      </w:r>
    </w:p>
    <w:p>
      <w:r>
        <w:t>Bundesgericht (BGE), 1972-10-27, DE</w:t>
      </w:r>
    </w:p>
    <w:p>
      <w:r>
        <w:rPr>
          <w:b/>
        </w:rPr>
        <w:t xml:space="preserve">Quelle: </w:t>
      </w:r>
      <w:r>
        <w:t>https://mcp.opencaselaw.ch/entscheid/bge_BGE_98_IB_484</w:t>
      </w:r>
    </w:p>
    <w:p>
      <w:r>
        <w:t>FR: BGE BGE 98 IB 484 du 27 octobre 1972</w:t>
      </w:r>
    </w:p>
    <w:p>
      <w:r>
        <w:t>IT: BGE BGE 98 IB 484 del 27 ottobre 1972</w:t>
      </w:r>
    </w:p>
    <w:p>
      <w:pPr>
        <w:pStyle w:val="Heading2"/>
      </w:pPr>
      <w:r>
        <w:t>Regeste</w:t>
      </w:r>
    </w:p>
    <w:p>
      <w:r>
        <w:t>Regeste Arbeitsgesetz: Unterstellung unter die Vorschriften für industrielle Betriebe. Begriff des automatisierten Verfahrens im Sinne von Art. 5 Abs. 2 lit. b ArG. Erweiterung der in Art. 13 ArV I getroffenen Umschreibung.</w:t>
      </w:r>
    </w:p>
    <w:p>
      <w:r>
        <w:t>Regeste Loi sur le travail: assujettissement aux prescriptions concernant les entreprises industrielles. Notion de procédé automatique au sens de l'art. 5 al. 2 litt. b LTr. Interprétation extensive de la définition figurant à l'art. 13 O d'EX I LTr.</w:t>
      </w:r>
    </w:p>
    <w:p>
      <w:r>
        <w:t>Regesto Legge sul lavoro: applicazione delle disposizioni sulle aziende industriali.Nozione di procedimento automatizzato ai sensi dell'art. 5 cpv. 2 della legge sul lavoro. Ampliamento necessario della definizione contenuta nell'art. 13 dell'ordinanza d'esecuzione I della legge.</w:t>
      </w:r>
    </w:p>
    <w:p>
      <w:pPr>
        <w:pStyle w:val="Heading2"/>
      </w:pPr>
      <w:r>
        <w:t>Erwägungen</w:t>
      </w:r>
    </w:p>
    <w:p>
      <w:r>
        <w:rPr>
          <w:b/>
        </w:rPr>
        <w:t>E. 1</w:t>
      </w:r>
    </w:p>
    <w:p>
      <w:r>
        <w:t>Sowohl die Betonmischanlage als auch die beiden Belagsfabriken sind unbestrittenermassen feste Anlagen von dauerndem Charakter für die Herstellung, Verarbeitung oder Behandlung von Gütern im Sinne von Art. 5 Abs. 2 ArG . Durch ihren dauernden Charakter unterscheiden sie sich von Betonmischanlagen und Belagaufbereitungsanlagen auf grossen Baustellen, die zwar manchmal auch jahrelang in Betrieb stehen, aber doch zum vorneherein nur für eine bestimmte Aufgabe errichtet werden. Die Anlagen der Beschwerdeführerin arbeiten nicht nur für zum voraus bestimmte Baustellen, sondern nehmen Aufträge von einer unbestimmten Vielzahl BGE 98 Ib 484 S. 487 von Baustellen entgegen. Sie unterstehen deshalb auch nicht den für Baustellen geltenden baupolizeilichen Vorschriften und der entsprechenden Kontrolle der baupolizeilichen Organe (vgl. Verordnung über die Verhütung von Unfällen bei Bauarbeiten vom 8. August 1967). Umstritten ist hier einzig, ob Arbeitsweise und Arbeitsorganisation der zu unterstellenden Betriebsteile der Beschwerdeführerin "wesentlich durch automatisierte Verfahren bestimmt werden" ( Art. 5 Abs. 2 lit. b ArG ). Art. 13 ArV I geht bei der Umschreibung des automatisierten Verfahrens im Sinne von Art. 5 Abs. 2 lit. b ArG von einem streng technischen Begriff der Automation aus. Automatisiert ist nach seinem Wortlaut ein Verfahren nur, wenn sowohl die Bedienung und die Steuerung als auch die Überwachung der in Frage stehenden Anlagen selbsttätig besorgt werden und deshalb normalerweise während des ganzen Ablaufs des Verfahrens kein menschliches Eingreifen erforderlich ist. Diese Umschreibung erweist sich jedoch vor Art. 5 Abs. 2 lit. b ArG als zu eng. Art. 5 Abs. 2 lit. b ArG verfolgt einen ähnlichen Zweck wie einst Art. 1 Abs. 1 lit. d der Vollziehungsverordnung zum Fabrikgesetz, wonach "industrielle Anstalten" ungeachtet der Zahl der darin beschäftigten Arbeitnehmer als Fabriken betrachtet wurden, wenn sie in ihrer Arbeitsweise unverkennbar Fabrikcharakter aufwiesen (vgl. Botschaft zum ArG BBl 1960 II 955; Komm. Hug Art. 5 ArG N. 20). Dank der Entwicklung der Technik ist es heute in verschiedenen Branchen möglich, verhältnismässig grosse Anlagen ausgesprochen industriellen Charakters mit weniger als sechs Arbeitnehmern zu betreiben. Gerade solche Grossanlagen will Art. 5 Abs. 2 lit. b ArG offenbar erfassen. Dabei kann nicht entscheidend sein, ob im Einzelfall die den Arbeitsprozess wesentlich bestimmenden Verfahren im streng technischen Sinne automatisiert sind. Vielmehr ist anzunehmen, dass eine grosse Anlage mit bedeutendem Maschinenpark auch dann unter Art. 5 Abs. 2 lit. b ArG fällt, wenn der gesamte Arbeitsvorgang der Maschinen für jedes gewünschte Endprodukt von Arbeitnehmern besonders eingestellt und ausgelöst werden muss, von seiner Auslösung an bis zur Ablieferung des Endproduktes aber ohne weiteres Zutun abläuft, der menschliche Eingriff in das Verfahren sich somit auf Wahl und Auslösung des Arbeitsvorgangs und Kontrolle des Ablaufs beschränkt. Dabei ist ohne Belang, ob der Arbeitsvorgang BGE 98 Ib 484 S. 488 durch Lochkarten oder von Hand eingestellt wird oder ob sich die Kontrolle auf die Überprüfung von Zeigerbewegungen beschränkt oder auch einen Blick auf das Endprodukt einschliesst. Es kommt nur darauf an, dass zwischen dem Auslösen des Arbeitsvorganges und der Ablieferung des Endproduktes normalerweise kein menschlicher Eingriff mehr nötig wird.</w:t>
      </w:r>
    </w:p>
    <w:p>
      <w:r>
        <w:rPr>
          <w:b/>
        </w:rPr>
        <w:t>E. 2</w:t>
      </w:r>
    </w:p>
    <w:p>
      <w:r>
        <w:t>Die von der Beschwerdeführerin bei der Aufbereitung von Frischbeton und Schwarzdeckenbelägen angewendeten Verfahren entsprechen dieser Voraussetzung. Sie bestimmen wesentlich den Arbeitsprozess im betreffenden Betriebsteil. Ist der einzelne Produktionsgang einmal eingestellt, so läuft er grundsätzlich ohne weiteres Zutun der Arbeitnehmer ab, bis das Endprodukt verladebereit ist. Der Umwandlungsprozess von den verwendeten Rohprodukten zum Endprodukt ist hier allerdings verhältnismässig einfach. Automation im technischen Sinne mit Rückmeldung, Selbstüberwachung und vielleicht sogar Selbstkorrektur scheint deshalb nicht erforderlich. Jedoch werden durch Betätigung der Schaltanlage sehr grosse Mengen Materials bewegt, gemischt und schliesslich auf Lastwagen verladen. Der Betrieb der Beschwerdeführerin lässt sich in dieser Beziehung nicht mit einem gewerblichen Kleinbetrieb vergleichen, der gegebenenfalls ähnlich einfache Produktionsverfahren anwendet. Er fällt unter Art. 5 Abs. 2 lit. b ArG und wurde mithin zu Recht den Sondervorschriften des Arbeitsgesetzes für industrielle Betriebe unterstellt. Dass Errichtung und Umgestaltung eines Betriebes in der Grösse desjenigen der Beschwerdeführerin dem Plangenehmigungsverfahren nach Art. 8 ArG unterliegen, ist sachlich gerechtfertigt. Der Betrieb der Beschwerdeführerin ist auch durchaus in der Lage, sich den Bestimmungen über die Höchstarbeitszeit in industriellen Betrieben anzupassen, zumal er mit andern Betrieben wenn auch anderer Branchen eng zusammenarbeitet, was einen gewissen Personalausgleich ermöglicht. Den besonderen Bedürfnissen des Baugewerbes bei der Belieferung mit Frischbeton oder Frischbelag kann durch Ausnahmebewilligungen Rechnung getragen werden. Schliesslich ist auch vernünftig, dass der fragliche Teil des Betriebs der Beschwerdeführerin durch die Unterstellung unter die Sondervorschriften für industrielle Betriebe hinsichtlich der Verschiebung der Grenzen der Tagesarbeit der Aufsicht des BGE 98 Ib 484 S. 489 BIGA und hinsichtlich der Einhaltung der Verordnung III zum Arbeitsgesetz (Gesundheitsvorsorge und Unfallverhütung in industriellen Betrieben) der Aufsicht des zuständigen eidg. Arbeitsinspektorats unterworfen wird. Betriebe oder Betriebsteile dieser Art sollen sich diesen Kontrollen nicht dadurch entziehen können, dass sie die Zahl ihrer Beschäftigten dauernd unter sechs halten. Was die Beschwerdeführerin an Gegenargumenten vorbringt, dringt nicht durch. Alles, was sie hinsichtlich des menschlichen Eingreifens in den Produktionsprozess darlegt, bezieht sich auf Einstellungs- und Kontrollarbeiten. Dass dort der Mensch nach wie vor nötig ist, ja, dass diese Einstellungs- und Kontrollarbeiten einen hohen Grad von Aufmerksamkeit und Verantwortlichkeit verlangen, trifft zu, ist aber für die Frage der Unterstellung unter die Sondervorschriften für industrielle Betriebe nicht entscheidend, wie die Auslegung von Art. 5 Abs. 2 lit. b ArG ergeben hat. Schliesslich versteht sich von selbst, dass die Verwaltung verpflichtet ist, nicht nur den in Frage stehenden Betriebsteil der Beschwerdeführerin, sondern alle Betriebe und Betriebsteile in der Schweiz, die die entsprechenden Voraussetzungen erfüllen, den Sondervorschriften des Arbeitsgesetzes für industrielle Betriebe zu unterstellen. Der angefochtene Entscheid hält somit der Überprüfung durch das Bundesgericht 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