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 vom 27. März 1972</w:t>
      </w:r>
    </w:p>
    <w:p>
      <w:r>
        <w:t>Bundesgericht (BGE), 1972-03-27, DE</w:t>
      </w:r>
    </w:p>
    <w:p>
      <w:r>
        <w:rPr>
          <w:b/>
        </w:rPr>
        <w:t xml:space="preserve">Quelle: </w:t>
      </w:r>
      <w:r>
        <w:t>https://mcp.opencaselaw.ch/entscheid/bge_BGE_98_IB_1</w:t>
      </w:r>
    </w:p>
    <w:p>
      <w:r>
        <w:t>FR: BGE BGE 98 IB 1 du 27 mars 1972</w:t>
      </w:r>
    </w:p>
    <w:p>
      <w:r>
        <w:t>IT: BGE BGE 98 IB 1 del 27 marzo 1972</w:t>
      </w:r>
    </w:p>
    <w:p>
      <w:pPr>
        <w:pStyle w:val="Heading2"/>
      </w:pPr>
      <w:r>
        <w:t>Regeste</w:t>
      </w:r>
    </w:p>
    <w:p>
      <w:r>
        <w:t>Regeste Ausweisung. 1. Das Bundesgericht kann Ausweisungsverfügungen nicht auf ihre Angemessenheit überprüfen (Erw. 1). 2. Umstände, unter denen ein Ausländer, der den Ausweisungsgrund von Art. 10 Abs. 1 lit. b ANAG erfüllt, ausgewiesen werden kann, obschon ihm bei Ausweisung gewisse Nachteile drohen (Erw. 2).</w:t>
      </w:r>
    </w:p>
    <w:p>
      <w:r>
        <w:t>Regeste Expulsion. 1. Le Tribunal fédéral ne peut pas examiner les décisions d'expulsion sous l'angle de l'opportunité (consid. 1). 2. Circonstances dans lesquelles un étranger, qui remplitles conditions de l'art. 10 al. 1 lettre b LSEE, peut être expulsé alors même que cette expulsion lui cause certains préjudices (consid. 2).</w:t>
      </w:r>
    </w:p>
    <w:p>
      <w:r>
        <w:t>Regesto Espulsione. 1. Il Tribunale federale non può esaminare le decisioni d'espulsione dal profilo dell'opportunità (consid. 1). 2. Circostanze nelle quali uno straniero che adempie i requisiti dell'art. 10 cpv. 1 lett. b LDDS può essere espulso quand'anche tale espulsione gli arrechi taluni pregiudizi (consid. 2).</w:t>
      </w:r>
    </w:p>
    <w:p>
      <w:pPr>
        <w:pStyle w:val="Heading2"/>
      </w:pPr>
      <w:r>
        <w:t>Erwägungen</w:t>
      </w:r>
    </w:p>
    <w:p>
      <w:r>
        <w:rPr>
          <w:b/>
        </w:rPr>
        <w:t>E. 1</w:t>
      </w:r>
    </w:p>
    <w:p>
      <w:r>
        <w:t>Die Kognitionsbefugnis des Bundesgerichts umfasst im vorliegenden Falle die Rüge der Verletzung von Bundesrecht einschliesslich Überschreitung oder Missbrauch des Ermessens ( Art. 104 lit. a OG ) sowie die Rüge der unrichtigen oder unvollständigen Feststellung des Sachverhaltes ( Art. 104 lit. b OG ). Die Angemessenheit des angefochtenen Entscheides kann das Bundesgericht hingegen nicht prüfen ( BGE 97 I 64 /65; BGE 96 I 271 ). Art. 104 lit. c OG lässt die Rüge der Unangemessenheit abgesehen von zwei hier ohnehin nicht in Betracht kommenden Fällen nur zu, "soweit das Bundesrecht sie vorsieht". Dass das Bundesrecht sie vorsehe, ist, dem Sinn der Vorschrift entsprechend, nur anzunehmen, wenn ein bundesrechtlicher Erlass dies ausdrücklich ausspricht. Die Erlasse über Aufenthalt und Niederlassung der Ausländer enthalten keine derartige Bestimmung. Nach Art. 11 Abs. 3 ANAG soll nun allerdings eine Ausweisung nur verfügt werden, wenn sie nach den gesamten Umständen angemessen erscheint. Dies kann aber vernünftigerweise nicht heissen, dass damit die Frage nach der BGE 98 Ib 1 S. 4 Angemessenheit einer Ausweisungsverfügung schon in der Frage nach ihrer Bundesrechtsmässigkeit ( Art. 104 lit. a OG ) enthalten ist. Es besteht kein Anlass, anzunehmen, Art. 11 Abs. 3 ANAG wolle auf diesem Umwege dem Bundesgericht die Überprüfung von Ausweisungsverfügungen auf ihre Angemessenheit ermöglichen, umso weniger, als die Verwaltungsgerichtsbeschwerde in dieser Materie ja erst seit der letzten Revision des Organisationsgesetzes zulässig ist. Zwar lassen sich für eine Kontrolle der Angemessenheit einer Ausweisungsverfügung durch das Bundesgericht gewichtige Gründe anführen. Es muss aber doch angenommen werden, dass der Gesetzgeber, hätte er eine solche Kontrolle einrichten wollen, dies hinreichend klargestellt hätte.</w:t>
      </w:r>
    </w:p>
    <w:p>
      <w:r>
        <w:rPr>
          <w:b/>
        </w:rPr>
        <w:t>E. 2</w:t>
      </w:r>
    </w:p>
    <w:p>
      <w:r>
        <w:t>Nach Art. 10 Abs. 1 lit. b ANAG kann ein Ausländer aus der Schweiz ausgewiesen werden, wenn sein Verhalten im allgemeinen und seine Handlungen darauf schliessen lassen, dass er nicht gewillt oder nicht fähig ist, sich in die im Gastland geltende Ordnung einzufügen. Der Beschwerdeführer bestreitet nicht, dass er diesen Ausweisungsgrund erfüllt. Eine Bestreitung würde ihm auch wenig nützen angesichts der über seinen Lebenswandel in vielen Jahren aufgelaufenen polizeilichen Feststellungen. Anzeichen für eine Besserung liegen nicht vor. Was der Beschwerdeführer gegen seine Ausweisung vorbringt, soll denn auch dem Sinne nach lediglich dartun, dass diese Massnahme den Umständen des vorliegenden Falles nicht angemessen sei. Bei der Beurteilung der Angemessenheit hat die zuständige Behörde nach Art. 16 Abs. 3 ANAG namentlich die Schwere des Verschuldens des Ausländers, die Dauer seiner Anwesenheit in der Schweiz sowie die ihm und seiner Familie bei Ausweisung drohenden Nachteile zu berücksichtigen. Nach Art. 16 ANAG fallen ausserdem die geistigen und wirtschaftlichen Interessen sowie der Grad der Überfremdung des Landes in Betracht. Entsprechend dem unter Ziffer 2 Ausgeführten ist hier einzig zu prüfen, ob die Vorinstanz ihr Ermessen missbraucht oder überschritten hat. Eine Ermessensüberschreitung liegt offensichtlich nicht vor, hat doch der Regierungsrat mit der Ausweisung des Beschwerdeführers nicht eine Lösung getroffen, die er im Rahmen seines Ermessens gar nicht treffen konnte, und auch nicht verkannt, dass es weitgehend in seinem Ermessen lag, die Ausweisung des Beschwerdeführers zu verfügen, sie nur anzudrohen oder sogar auf jede Massnahme zu verzichten. BGE 98 Ib 1 S. 5 Der Vorinstanz kann aber auch kein Missbrauch ihres Ermessens vorgeworfen werden. Dass eine Ausweisung sich für den davon Betroffenen nachteilig auswirken kann, ist selbstverständlich und im Wesen dieser Massnahme begründet. Nur ein besonders schwerer Nachteil, der dem Auszuweisenden droht, kann deshalb als Hindernis für eine Ausweisung anerkannt werden. Der Regierungsrat hat bei seinem Entscheid durchaus berücksichtigt, dass der Beschwerdeführer schon über zwanzig Jahre in der Schweiz lebt. Gerade die Tatsache, dass der Beschwerdeführer schon mit sieben Jahren in die Schweiz kam und hier die Schulen besuchte und seine Lehre abschloss,dürfte die Behörden bewogen haben, im vorliegenden Falle lange Jahre hindurch Nachsicht zu üben. Nachdem nun aber das Verhalten des Beschwerdeführers sich nach der Androhung der Ausweisung im Jahre 1966 nicht gebessert hat und auch die zahlreichen informellen Mahnungen von Polizei und Fürsorge ohne jede sichtbare Wirkung geblieben sind, der Beschwerdeführer sich also schon über acht Jahre lang ohne geregelte Arbeit, oft mittellos und ohne festen Wohnsitz in der Schweiz herumtreibt, durfte der Regierungsrat im Rahmen des ihm zustehenden Ermessens die Ausweisung anordnen. Dass der Beschwerdeführer in der Schweiz besonders enge menschliche Beziehungen pflege, wird nicht behauptet und ist auch aus den Akten nicht ersichtlich. Mit seinen ehemaligen Pflegeeltern scheint er keine Verbindung mehr zu haben. Es besteht auch sonst kein Anhaltspunkt dafür, dass er sich in der Schweiz besonders verwurzelt fühlt. Die sprachlichen Schwierigkeiten, denen er in Holland begegnen könnte, sind nicht derart, dass anzunehmen wäre, es entstehe ihm in dieser Hinsicht durch die Ausweisung ein unzumutbarer Nachteil. Überdies ist es denkbar, dass er sich nach Deutschland begeben kann, wo keinerlei Sprachschwierigkeiten ihn an der Verständigung hindern. Die angebliche Pflegebedürftigkeit des Beschwerdeführers könnte an sich durchaus Anlass sein, von einer Ausweisung abzusehen. Selbst wenn sie jedoch einwandfrei nachgewiesen wäre, zwänge sie nicht zum Verzicht auf Ausweisung, denn die für den Beschwerdeführer geforderte Pflege lässt sich nicht nur in der Schweiz erbringen. Dass sich die Ausweisung schlecht auf den Geisteszustand des Beschwerdeführers auswirken wird, ist umso weniger anzunehmen, als der Psychiater Dr. Nagel in Zürich noch am 5. September 1971 erklärt hat, eine Ausweisung dürfte dem Beschwerdeführer keinen nachhaltigen oder schädlichen BGE 98 Ib 1 S. 6 Eindruck machen. Unter diesen Umständen sind aber die Nachteile, die dem Beschwerdeführer bei Ausweisung drohen, nicht derart schwer, dass die Ausweisung als missbräuchlich erschiene.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