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353 vom 26. April 1972</w:t>
      </w:r>
    </w:p>
    <w:p>
      <w:r>
        <w:t>Bundesgericht (BGE), 1972-04-26, FR</w:t>
      </w:r>
    </w:p>
    <w:p>
      <w:r>
        <w:rPr>
          <w:b/>
        </w:rPr>
        <w:t xml:space="preserve">Quelle: </w:t>
      </w:r>
      <w:r>
        <w:t>https://mcp.opencaselaw.ch/entscheid/bge_BGE_98_IA_353</w:t>
      </w:r>
    </w:p>
    <w:p>
      <w:r>
        <w:t>FR: BGE BGE 98 IA 353 du 26 avril 1972</w:t>
      </w:r>
    </w:p>
    <w:p>
      <w:r>
        <w:t>IT: BGE BGE 98 IA 353 del 26 aprile 1972</w:t>
      </w:r>
    </w:p>
    <w:p>
      <w:pPr>
        <w:pStyle w:val="Heading2"/>
      </w:pPr>
      <w:r>
        <w:t>Regeste</w:t>
      </w:r>
    </w:p>
    <w:p>
      <w:r>
        <w:t>Regeste Begehren um definitive Rechtsöffnung. Einrede der Verrechnung. Art. 81 und 149 Abs. 2 SchKG.Ein vom Betreibungsschuldner vorgelegter, gegen den Betreibungsgläubiger ausgestellter Verlustschein bildet für sich allein keinen urkundlichen Beweis für den Bestand der Gegenforderung, die dem Begehren um definitive Rechtsöffnung gegenüber zur Verrechnung gestellt wird.</w:t>
      </w:r>
    </w:p>
    <w:p>
      <w:r>
        <w:t>Regeste Demande de mainlevée définitive. Exception de compensation. Art. 81 et 149 al. 2 LP. La présentation, par le débiteur poursuivi, d'un acte de défaut de biens établi contre le créancier poursuivant, ne constitue pas, à elle seule, la preuve par titre de l'existence de la créance opposée en compensation dans une procédure en mainlevée définitive.</w:t>
      </w:r>
    </w:p>
    <w:p>
      <w:r>
        <w:t>Regesto Domanda di rigetto definitivo dell'opposizione. Eccezione di compensazione. Art. 81 e 149 LEF. La presentazione da parte del debitore escusso d'un attestato di carenza di beni emesso nei confronti del creditore procedente non costituisce, da sola, in una causa di rigetto definitivo dell'opposizione, la prova documentale dell'esistenza del credito opposto in compensazione.</w:t>
      </w:r>
    </w:p>
    <w:p>
      <w:pPr>
        <w:pStyle w:val="Heading2"/>
      </w:pPr>
      <w:r>
        <w:t>Erwägungen</w:t>
      </w:r>
    </w:p>
    <w:p>
      <w:r>
        <w:rPr>
          <w:b/>
        </w:rPr>
        <w:t>E. 1</w:t>
      </w:r>
    </w:p>
    <w:p>
      <w:r>
        <w:t>Lorsque la poursuite se fonde sur un jugement exécutoire, le juge ne peut refuser la mainlevée définitive, selon l'art. 81 LP, que si l'opposant prouve par titre que la dette a été éteinte ou qu'il a obtenu un sursis postérieurement au jugement, ou s'il se prévaut de la prescription. La recourante ne conteste pas qu'une dette puisse s'éteindre par compensation, ni que la débitrice puisse opposer en compensation des créances acquises par voie de cession entre le jugement et l'ouverture de la poursuite. Elle conteste en revanche que la production d'un acte de défaut de biens constitue à elle seule la preuve par titre de l'existence de la créance opposée en compensation.</w:t>
      </w:r>
    </w:p>
    <w:p>
      <w:r>
        <w:rPr>
          <w:b/>
        </w:rPr>
        <w:t>E. 2</w:t>
      </w:r>
    </w:p>
    <w:p>
      <w:r>
        <w:t>Ainsi que le Tribunal fédéral l'a admis dans sa jurisprudence constante (RO 26 II 485 ss. consid. 3, 52 III 131, 69 III 91 consid. 1), l'acte de défaut de biens n'est qu'une déclaration officielle attestant que la procédure d'exécution forcée engagée contre le débiteur n'a pas abouti au paiement de la créance ou n'a abouti qu'à un paiement partiel. Il n'emporte par lui-même ni novation de la dette au sens de l'art. 116 CO, ni création d'un rapport de droit nouveau qui viendrait doubler l'ancien et d'où pourrait naître un droit d'action distinct. Il ne constitue pas une reconnaissance de dette au sens technique de cette expression: le débiteur en effet n'intervient en rien dans son établissement et ne fait aucune déclaration de volonté concernant le fond du droit. Un tel acte ne "vaut reconnaissance de dette" que "dans le sens de l'art. 82" (art. 149 al. 2 LP). Même s'il a été établi au terme d'une poursuite au cours de laquelle la mainlevée définitive a été accordée, l'acte de défaut de biens ne permet, à lui seul, d'obtenir que la mainlevée provisoire et non la mainlevée définitive. Il ne pourrait avoir d'effets plus étendus qu'en vertu de dispositions légales expresses. Or, à part les effets du droit des poursuites (art. 149 al. 2 et 3 LP), la loi prévoit simplement que la créance est imprescriptible et ne porte pas d'intérêts (alinéas 4 et 5 du même article). BGE 98 Ia 353 S. 356 Si l'acte de défaut de biens ne permet d'obtenir que la mainlevée provisoire, à plus forte raison ne peut-il pas, à lui seul, faire échec à l'octroi de la mainlevée définitive requise sur présentation d'un jugement exécutoire. Il ne constitue en aucune façon la preuve de l'existence de la créance, mais uniquement, selon l'arrêt Lehle (RO 69 III 91 s.), un indice de cette existence, indice auquel le juge ne pourrait attribuer une valeur décisive que si le créancier se trouvait dans l'impossibilité d'invoquer d'autres moyens de preuve, en raison de circonstances exceptionnelles (ancienneté des événements ou autres motifs semblables). Or rien de tel ne se présentait en l'espèce: délivrés en mars 1968, les actes de défaut de biens reposaient sur des faits récents; l'intimée n'a par ailleurs pas allégué qu'en raison d'autres circonstances exceptionnelles, elle était dans l'impossibilité d'invoquer d'autres moyens de preuve. Les autorités cantonales pouvaient d'autant moins attribuer une valeur de preuve par titre aux actes de défaut de biens en question que ceux-ci précisaient, au sujet de la débitrice, qu'elle était actuellement sans domicile connu, mais probablement domiciliée aux Pays-Bas. Cette indication était de nature à faire douter de la régularité de la procédure suivie dans les poursuites qui avaient abouti à ces actes de défaut de biens, notamment douter que les formes prescrites par l'art. 66 LP et par la Convention de La Haye relative à la procédure civile, du 1er mars 1954, aient été respectées pour la notification des actes de poursuite.</w:t>
      </w:r>
    </w:p>
    <w:p>
      <w:r>
        <w:rPr>
          <w:b/>
        </w:rPr>
        <w:t>E. 3</w:t>
      </w:r>
    </w:p>
    <w:p>
      <w:r>
        <w:t>En méconnaissant la règle de droit fédéral qui découle du texte clair de la loi et de la jurisprudence, la décision attaquée a admis comme prouvés par titres des faits - importants pour la solution du litige - qui ne l'étaient pas; ce faisant, elle a déplacé le fardeau de la preuve de façon inadmissible. Incompatible avec l'art. 4 Cst., cette décision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