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247 vom 29. März 1972</w:t>
      </w:r>
    </w:p>
    <w:p>
      <w:r>
        <w:t>Bundesgericht (BGE), 1972-03-29, FR</w:t>
      </w:r>
    </w:p>
    <w:p>
      <w:r>
        <w:rPr>
          <w:b/>
        </w:rPr>
        <w:t xml:space="preserve">Quelle: </w:t>
      </w:r>
      <w:r>
        <w:t>https://mcp.opencaselaw.ch/entscheid/bge_BGE_98_IA_247</w:t>
      </w:r>
    </w:p>
    <w:p>
      <w:r>
        <w:t>FR: BGE BGE 98 IA 247 du 29 mars 1972</w:t>
      </w:r>
    </w:p>
    <w:p>
      <w:r>
        <w:t>IT: BGE BGE 98 IA 247 del 29 marzo 1972</w:t>
      </w:r>
    </w:p>
    <w:p>
      <w:pPr>
        <w:pStyle w:val="Heading2"/>
      </w:pPr>
      <w:r>
        <w:t>Regeste</w:t>
      </w:r>
    </w:p>
    <w:p>
      <w:r>
        <w:t>Regeste Kantonales Strafprozessrecht. Art. 4 BV. Einreichung einer Prozessschrift durch Übergabe an die Post. Willkürliche Weigerung, den Einwurf in einen Briefkasten der Aufgabe am Postschalter gleichzustellen (Erw. 1). Die Partei hat zu beweisen, dass die Frist gewahrt wurde; zu diesem Zweck muss ihr gestattet werden, die sich aus dem Poststempel ergebende Vermutung zu widerlegen (Erw. 2).</w:t>
      </w:r>
    </w:p>
    <w:p>
      <w:r>
        <w:t>Regeste Procédure pénale cantonale. Art. 4 Cst. Dépôt d'un acte de procédure par l'intermédiaire de la poste. Refus arbitraire d'assimiler le dépôt dans une boîte aux lettres à la remise au bureau de poste (consid. 1). Possibilité pour le plaideur, qui doit prouver que le délai est respecté, de renverser la présomption donnée par le sceau postal (consid. 2).</w:t>
      </w:r>
    </w:p>
    <w:p>
      <w:r>
        <w:t>Regesto Diritto processuale cantonale. Art. 4 CF. Presentazione di un atto di procedura a mezzo posta. Rifiuto arbitrario di equiparare il deposito in una buca delle lettere alla consegna all'ufficio postale (consid. 1). Possibilità della parte, che deve provare il rispetto del termine, di confutare la presunzione dipendente dal timbro postale (consid. 2).</w:t>
      </w:r>
    </w:p>
    <w:p>
      <w:pPr>
        <w:pStyle w:val="Heading2"/>
      </w:pPr>
      <w:r>
        <w:t>Erwägungen</w:t>
      </w:r>
    </w:p>
    <w:p>
      <w:r>
        <w:rPr>
          <w:b/>
        </w:rPr>
        <w:t>E. 1</w:t>
      </w:r>
    </w:p>
    <w:p>
      <w:r>
        <w:t>Le Président de la Cour de cassation cantonale admet en fait que le mémoire de recours a bien été déposé dans la boîte aux lettres avant la levée de 23 heures 15. Comme rien ne permet de croire que cette levée ait été retardée de plus de trois quarts d'heure, il faut en conclure que l'acte était même en main de l'agent postal chargé de cette opération avant l'échéance du délai. Dans ces conditions en tout cas, il est insoutenable de ne pas assimiler le dépôt dans une boîte aux lettres à la remise à un bureau de poste suisse. L'entreprise des postes, téléphones et télégraphes considère quant à elle qu'un envoi lui est remis dès qu'il est déposé dans une boîte (cf. RYCHNER, Wann ist ein Brief der Post übergeben?, RSJ 451949-p. 21 s.). Tel qu'il est motivé, l'arrêt attaqué est arbitraire.</w:t>
      </w:r>
    </w:p>
    <w:p>
      <w:r>
        <w:rPr>
          <w:b/>
        </w:rPr>
        <w:t>E. 2</w:t>
      </w:r>
    </w:p>
    <w:p>
      <w:r>
        <w:t>Il est vrai que, selon l'acte de recours, l'état de fait sur lequel s'est fondé le juge cantonal ne correspondrait pas à la réalité. Le mandataire de la recourante affirme avoir fait déposer le mémoire dans la boîte aux lettres du bureau de poste de la gare. Il résulte de déclarations établies par la Direction des postes de Lausanne et figurant au dossier que le courrier déposé dans cette boîte est acheminé automatiquement jusqu'au personnel chargé de l'oblitération par un ruban transporteur, qu'il peut s'écouler jusqu'à trente minutes entre le dépôt et l'oblitération et que pour des raisons d'organisation du service, le courrier déposé après 23 heures n'est oblitéré que le lendemain entre 1 heure et 2 heures du matin. Dans ces conditions, il n'est pas certain, mais seulement possible que le mémoire de recours ait été déposé avant minuit. La recourante, à qui il incombe de prouver qu'elle a agi en temps utile, doit être mise en mesure de faire cette preuve, contre la présomption résultant du sceau postal. Le recours doit dès lors être admis au sens des considérants. Il appartiendra à l'autorité cantonale de dire, le cas échéant, quelles conséquences de droit il faut déduire du fait que la boîte aux lettres en question s'ouvre directement sur les locaux du bureau de poste et porte l'inscription "levée automatique et continue".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