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241</w:t>
      </w:r>
    </w:p>
    <w:p>
      <w:r>
        <w:t>Bundesgericht (BGE), 1971-11-04, IT</w:t>
      </w:r>
    </w:p>
    <w:p>
      <w:r>
        <w:rPr>
          <w:b/>
        </w:rPr>
        <w:t xml:space="preserve">Quelle: </w:t>
      </w:r>
      <w:r>
        <w:t>https://mcp.opencaselaw.ch/entscheid/bge_BGE_97_V_241</w:t>
      </w:r>
    </w:p>
    <w:p>
      <w:r>
        <w:t>FR: ATF 97 V 241</w:t>
      </w:r>
    </w:p>
    <w:p>
      <w:r>
        <w:t>IT: DTF 97 V 241</w:t>
      </w:r>
    </w:p>
    <w:p>
      <w:pPr>
        <w:pStyle w:val="Heading2"/>
      </w:pPr>
      <w:r>
        <w:t>Regeste</w:t>
      </w:r>
    </w:p>
    <w:p>
      <w:r>
        <w:t>Regeste Art. 28 Abs. 2 und Art. 5 Abs. 1 IVG: Ermittlung des Invaliditätsgrades. Die massgebenden alternativen Kriterien - Erwerbsunfähigkeit (Art. 28 Abs. 2 IVG) und Unmöglichkeit, sich im bisherigen Aufgabenkreis zu betätigen (Art. 5 Abs. 1 IVG) - können im Einzelfall einander ablösen, ohnejeglicheÄnderung des invalidierenden Zustandes.</w:t>
      </w:r>
    </w:p>
    <w:p>
      <w:r>
        <w:t>Regeste Art. 28 al. 2 et art. 5 al. 1er LAI: détermination du taux d'in validité. Les critères alternatifs de l'art. 28 al. 2 LAI (incapacité de gain) et de l'art. 5 al. 1er LAI (empêchement d'accomplir les travaux habituels) peuvent s'appliquer successivement dans un même cas, sans qu'aucune modification de l'état de santé ne soit intervenue.</w:t>
      </w:r>
    </w:p>
    <w:p>
      <w:r>
        <w:t>Regesto Art. 28 cpv. 2 e art. 5 cpv. 1 LAI: accertamento del grado d'invalidità. I criteri alternativi di valutazione - incapacità di guadagnare (art. 28 cpv. 2 LAI) e impossibilità di svolgere le consuete proprie mansioni non retribuite (art. 5 cpv. 1 LAI) - possono trovare successiva applicazione nel singolo caso, senza che lo stato invalidante muti.</w:t>
      </w:r>
    </w:p>
    <w:p>
      <w:pPr>
        <w:pStyle w:val="Heading2"/>
      </w:pPr>
      <w:r>
        <w:t>Erwägungen</w:t>
      </w:r>
    </w:p>
    <w:p>
      <w:r>
        <w:rPr>
          <w:b/>
        </w:rPr>
        <w:t>E. 1</w:t>
      </w:r>
    </w:p>
    <w:p>
      <w:r>
        <w:t>Per decidere se - e in quale misura al caso - un determinato danno alla salute renda l'assicurato invalido ai sensi della LAI, occorre dapprima accertare se l'eventuale invalidità debba essere graduata secondo il criterio dell'art. 28 cpv. 2 (misura in cui lo stato invalidante riduce la capacità di guadagno) oppure secondo l'altro criterio enunciato dalla legge all'art. 5 cpv. 1 (misura in cui tale stato rende colui che non aveva occupazione lucrativa già prima dell'invalidità incapace di svolgere le proprie consuete mansioni non retribuite). Nel singolo caso l'applicazione dell'uno o dell'altro criterio non è irreversibile: può darsi che l'assicurato cessi di appartenere alla cerchia delle persone contemplate dall'art. 28 per passare a quella degli assicurati senza attività lucrativa giusta l'art. 5 cpv. 1 - o viceversa - senza che il suo stato di salute abbia subìto modificazione alcuna.</w:t>
      </w:r>
    </w:p>
    <w:p>
      <w:r>
        <w:rPr>
          <w:b/>
        </w:rPr>
        <w:t>E. 2</w:t>
      </w:r>
    </w:p>
    <w:p>
      <w:r>
        <w:t>Nella presente specie, quindi, per accertare la misura in cui la ricorrente è ora invalida, il criterio che le era applicabile prima del matrimonio non è necessariamente decisivo. Determinante dev'essere la situazione all'epoca cui si riferisce la pretesa in lite, cioè l'attività preponderante che la ricorrente, passata a nozze, avrebbe svolto se normalmente valida. Simile criterio venne già applicato da questa corte nei confronti di casalinghe, le quali, in fatto, erano già invalide prima del 1960 e lo divennero in diritto all'inizio di quell'anno (STFA 1961 p. 166). Ciò implica l'esame del quesito se, qualora fosse valida, date le sue effettive condizioni economiche e familiari, Anna Maria Milani dopo le nozze avrebbe principalmente esercitato un'attività lucrativa, o se si sarebbe invece essenzialmente dedicata alle proprie mansioni familiari di casalinga. Sinora tale questione non venne esaminata: la decisione amministrativa e il giudizio cantonale attribuiscono alla ricorrente la qualità di casalinga fondandosi unicamente sul genere della sua attività attuale. La soppressione della rendita procede quindi da costatazioni di fatto che dovranno ancora essere BGE 97 V 241 S. 244 completate per accertare la situazione giuridica in cui la ricorrente si trova, dopo il matrimonio, agli effetti della LAI. Ciò essendo, questa corte deve rinviare gli atti all'amministrazione perchè statuisca a nuovo sul diritto alla rendita in lite, dopo aver riesaminato il caso nel senso delle considerazioni che precedono...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