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237</w:t>
      </w:r>
    </w:p>
    <w:p>
      <w:r>
        <w:t>Bundesgericht (BGE), 1971-12-22, DE</w:t>
      </w:r>
    </w:p>
    <w:p>
      <w:r>
        <w:rPr>
          <w:b/>
        </w:rPr>
        <w:t xml:space="preserve">Quelle: </w:t>
      </w:r>
      <w:r>
        <w:t>https://mcp.opencaselaw.ch/entscheid/bge_BGE_97_V_237</w:t>
      </w:r>
    </w:p>
    <w:p>
      <w:r>
        <w:t>FR: ATF 97 V 237</w:t>
      </w:r>
    </w:p>
    <w:p>
      <w:r>
        <w:t>IT: DTF 97 V 237</w:t>
      </w:r>
    </w:p>
    <w:p>
      <w:pPr>
        <w:pStyle w:val="Heading2"/>
      </w:pPr>
      <w:r>
        <w:t>Regeste</w:t>
      </w:r>
    </w:p>
    <w:p>
      <w:r>
        <w:t>Regeste Art. 21bis Abs. 1 IVG. Dem Invaliden, der schon vor Eintritt der Invalidität zur Überwindung seines - gleich gebliebenen - Arbeitsweges auf ein Motorfahrzeug angewiesen war, gebührt dessen Anpassung an den invalidierenden Zustand, jedoch kein Amortisationsbeitrag (Bestätigung der Rechtsprechung).</w:t>
      </w:r>
    </w:p>
    <w:p>
      <w:r>
        <w:t>Regeste Art. 21bis al. 1er LAI. Celui qui, même avant de devenir invalide, avait besoin d'une automobile personnelle pour se rendre au travail et continue à en avoir besoin, a droit à l'adaptation du véhicule à son handicap, mais non à des indemnités d'amortissement (confirmation de la jurisprudence).</w:t>
      </w:r>
    </w:p>
    <w:p>
      <w:r>
        <w:t>Regesto Art. 21bis cpv. 1 LAI. All'invalido che, già prima di esser tale, necessitava d'un veicolo a motore personale per recarsi al lavoro e continua ad averne bisogno, spetta l'adattamento del veicolo allo stato invalidante subentrato, non però indennità d'ammortamento.</w:t>
      </w:r>
    </w:p>
    <w:p>
      <w:pPr>
        <w:pStyle w:val="Heading2"/>
      </w:pPr>
      <w:r>
        <w:t>Erwägungen</w:t>
      </w:r>
    </w:p>
    <w:p>
      <w:r>
        <w:rPr>
          <w:b/>
        </w:rPr>
        <w:t>E. 1</w:t>
      </w:r>
    </w:p>
    <w:p>
      <w:r>
        <w:t>...</w:t>
      </w:r>
    </w:p>
    <w:p>
      <w:r>
        <w:rPr>
          <w:b/>
        </w:rPr>
        <w:t>E. 2</w:t>
      </w:r>
    </w:p>
    <w:p>
      <w:r>
        <w:t>Zu prüfen ist, ob der Beschwerdeführer im Sinne der bundesamtlichen Vernehmlassung Amortisationsbeiträge gemäss Art. 16bis IVV zu beanspruchen habe. Laut Art. 21bis Abs. 1 IVG und Art. 16bis Abs. 2 IVV kann die Versicherung Amortisationsbeiträge ausrichten, wenn der Versicherte ein Hilfsmittel, auf das er Anspruch besitzt, auf eigene Kosten angeschafft hat. Motorfahrzeuge werden - gestützt auf Art. 21 Abs. 1 IVG und Art. 14 Abs. 1 lit. g IVV - abgegeben, wenn der Versicherte voraussichtlich dauernd eine existenzsichernde Erwerbstätigkeit ausübt und zur Überwindung des Arbeitsweges wegen Invalidität auf ein persönliches Motorfahrzeug angewiesen ist ( Art. 15 Abs. 1 IVV ; vgl. BGE 96 V 79 und 81, ZAK 1970 S. 410).</w:t>
      </w:r>
    </w:p>
    <w:p>
      <w:r>
        <w:rPr>
          <w:b/>
        </w:rPr>
        <w:t>E. 3</w:t>
      </w:r>
    </w:p>
    <w:p>
      <w:r>
        <w:t>Die erste der beiden Voraussetzungen, die Ausübung einer existenzsichernden Erwerbstätigkeit, ist im vorliegenden Fall zweifellos erfüllt. Somit bleibt die Frage zu entscheiden, ob der Beschwerdeführer wegen seiner Invalidität auf ein Motorfahrzeug angewiesen sei, um den Arbeitsweg zurückzulegen, wie dies die zweitgenannte Anspruchsvoraussetzung fordert. a) Das Bundesamt für Sozialversicherung bejaht diese Frage mit dem Argument, der Beschwerdeführer wäre wegen seiner Invalidität auch dann auf ein Motorfahrzeug angewiesen, wenn er am Arbeitsort Dottikon wohnte; die Länge des Arbeitsweges spiele für die Gewährung von Amortisationsbeiträgen eine untergeordnete Rolle, weil die dadurch allenfalls verursachte vorzeitige Abnützung des Wagens zu Lasten des Versicherten gehe. b) Das Gesamtgericht, welches sich mit dem grundsätzlichen Aspekt dieses Falles befasste, hat die Frage nach der Massgeblichkeit einer solchen Hypothese verneint. Vielmehr ist auf Grund des tatsächlichen Arbeitsweges im Einzelfall zu beurteilen, BGE 97 V 237 S. 240 ob der Versicherte nach den gesamten Gegebenheiten wegen seiner Invalidität auf ein Motorfahrzeug angewiesen sei. Das trifft - wie die Rechtsprechung schon bisher zu Recht angenommen hat(nichtveröffentlichtes Urteil vom 26. Mai 1970 in Sachen Thurnheer sowie ZAK 1970 S. 410) - namentlich dann nicht zu, wenn anzunehmen ist, der Versicherte müsste nach den Umständen seinen tatsächlichen Arbeitsweg auch als Gesunder mit einem persönlichen Motorfahrzeug zurücklegen. Die Notwendigkeiteines Fahrzeuges kann sich vor allem ergeben aus beruflichen Gründen (für Vertreter, Taxifahrer usw.) sowie aus der Entfernung des Wohnortes vom Arbeitsort, insbesondere wenn es an öffentlichen Verkehrsmitteln fehlt oder deren Benützung unzumutbar ist. Unmassgeblich ist dagegen, ob jemand als Gesunder tatsächlich ein Motorfahrzeug benutzt hat, um seinen Arbeitsweg zu überwinden, ohne dass er nach den Umständen darauf angewiesen war. Diese Ordnung soll auch der rechtsgleichen Behandlung der Empfänger dieser Leistung der Invalidenversicherung gegenüber andern, nicht anspruchsberechtigten Gehbehinderten einerseits und gegenüber Nichtinvaliden anderseits dienen (nicht veröffentlichtes Urteil vom 2. Februar 1971 in Sachen Rebmann, Erw. 3). Dem entspricht es ferner, wenn im Falle eines Wohnsitz- oder Arbeitsplatzwechsels - auch der Invalide ist in dieser Hinsicht grundsätzlich frei ( BGE 96 V 79 /80) - die diesbezüglichen Voraussetzungen gemäss den veränderten Umständen wieder neu geprüft werden. Daraus erhellt, dass die Anspruchsberechtigung nicht mit der Begründung bejaht werden darf, der Invalide würde wegen seines Gebrechens ein Motorfahrzeug benötigen, wenn er anderswo wohnte oder arbeitete; sonst könnte mit der sinngemäss gleichen Begründung auch ein Anspruch verneint werden, der nach den tatsächlichen Verhältnissen schutzwürdig ist. Das Gesamtgericht hat demzufolge die bisherige Rechtsprechung in diesem Sinne bestätigt.</w:t>
      </w:r>
    </w:p>
    <w:p>
      <w:r>
        <w:rPr>
          <w:b/>
        </w:rPr>
        <w:t>E. 4</w:t>
      </w:r>
    </w:p>
    <w:p>
      <w:r>
        <w:t>Im vorliegenden Fall ist nicht zu bestreiten, dass Hans Meyer für die Überwindung seines effektiven Arbeitsweges auf ein Motorfahrzeug angewiesen ist. Jedoch braucht er den Wagen nicht wegen der Invalidität - deswegen benötigt er lediglich ein dem Gebrechen angepasstes, mit Automatik ausgerüstetes Automobil -, sondern wegen der Distanz zum Arbeitsplatz unterden herrschenden Umständen. Die Entfernung von seinem Eigenheim in Uezwil zur Sprengstoff-Fabrik Dottikon beträgt BGE 97 V 237 S. 241</w:t>
      </w:r>
    </w:p>
    <w:p>
      <w:r>
        <w:rPr>
          <w:b/>
        </w:rPr>
        <w:t>E. 9</w:t>
      </w:r>
    </w:p>
    <w:p>
      <w:r>
        <w:t>1/2 Kilometer. Eine geeignete Verbindung durch öffentliche Verkehrsmittel besteht nicht. Unter solchen Umständen wird heutzutage die Verwendung eines eigenen Automobils, um täglich an die Arbeit zu gelangen, immer mehr üblich, zumal für einen Werkmeister. Aus den Akten ergibt sich denn auch, dass Hans Meyer schon vor seinem Unfall auf einen Wagen angewiesen war, um den Arbeitsweg zu überwinden; denn dieser ist unabhängig von der Invalidität zu lang, als dass er heute noch zu Fuss oder mit dem Fahrrad zurückgelegt würde. Es mag zwar sein, dass der Beschwerdeführer - wie er in der Verwaltungsgerichtsbeschwerde behauptet - früher 7 Jahre mit dem Rad zur Arbeit gefahren ist. Er arbeitet aber schon rund 20 Jahre in Dottikon. Unmittelbar vor dem Unfall, jedenfalls seit er Werkmeister war, vermutlich aber schon früher, begab er sich im Automobil zur Arbeit. Nach dem Gesagten gebricht es im vorliegenden Fall an der positiv-rechtlichen Anspruchsvoraussetzung der invaliditätsbedingten Notwendigkeit eines Motorfahrzeuges zur Ausübung der Erwerbstätigkeit. Mithin ist dem vorinstanzlichen Entscheid beizupflichten.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