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217</w:t>
      </w:r>
    </w:p>
    <w:p>
      <w:r>
        <w:t>Bundesgericht (BGE), 1971-11-05, FR</w:t>
      </w:r>
    </w:p>
    <w:p>
      <w:r>
        <w:rPr>
          <w:b/>
        </w:rPr>
        <w:t xml:space="preserve">Quelle: </w:t>
      </w:r>
      <w:r>
        <w:t>https://mcp.opencaselaw.ch/entscheid/bge_BGE_97_V_217</w:t>
      </w:r>
    </w:p>
    <w:p>
      <w:r>
        <w:t>FR: ATF 97 V 217</w:t>
      </w:r>
    </w:p>
    <w:p>
      <w:r>
        <w:t>IT: DTF 97 V 217</w:t>
      </w:r>
    </w:p>
    <w:p>
      <w:pPr>
        <w:pStyle w:val="Heading2"/>
      </w:pPr>
      <w:r>
        <w:t>Regeste</w:t>
      </w:r>
    </w:p>
    <w:p>
      <w:r>
        <w:t>Regeste Art. 4 ff. AHVG. Beitragsrechtliche Qualifikation des Einkommens eines Unterakkordanten (Erw. 2-3). Art. 14 AHVG und 39 AHVV. Nachforderung geschuldeter Beiträge im Lichte von Treu und Glauben (Erw. 4).</w:t>
      </w:r>
    </w:p>
    <w:p>
      <w:r>
        <w:t>Regeste Art. 4 ss LAVS. De la qualification du revenu d'un sous-traitant (consid. 2-3). Art. 14 LAVS et 39 RAVS. Du principe de la bonne foi en cas de perception des cotisations arriérées (consid. 4).</w:t>
      </w:r>
    </w:p>
    <w:p>
      <w:r>
        <w:t>Regesto Art. 4 ss. LAVS. Della qualificazione, in diritto contributivo, del reddito di un sotto-cottimista (consid. 2-3). Art. 14 LAVS e 39 OAVS. Del principio della buona fede in caso di percezione di contributi arretrati (consid. 4).</w:t>
      </w:r>
    </w:p>
    <w:p>
      <w:pPr>
        <w:pStyle w:val="Heading2"/>
      </w:pPr>
      <w:r>
        <w:t>Erwägungen</w:t>
      </w:r>
    </w:p>
    <w:p>
      <w:r>
        <w:rPr>
          <w:b/>
        </w:rPr>
        <w:t>E. 2</w:t>
      </w:r>
    </w:p>
    <w:p>
      <w:r>
        <w:t>Ainsi que le Tribunal fédéral des assurances l'a déjà précisé à maintes reprises, ni les conventions. ni les déclarations BGE 97 V 217 S. 219 des parties, ni la nature civile du contrat liant un assuré à l'entreprise ou la personne pour laquelle il travaille ne constituent, en matière d'assurance-vieillesse et survivants, des éléments décisifs pour résoudre la question de savoir si l'on est en présence d'une activité lucrative dépendante ou non. On admettra à cet égard en principe l'existence d'une activité dépendante, au sens de l'art. 5 LAVS, lorsque l'une des parties en présence est, vis-à-vis de l'autre, subordonnée quant à l'emploi du temps ou à l'organisation du travail, le rapport de dépendance économique pouvant constituer un indice d'une telle subordination, et que l'intéressé ne supporte pas le risque économique couru par l'entrepreneur ou le commerçant indépendant qui dirige son exploitation et en assume la responsabilité. Ces principes ne conduisent cependant pas à eux seuls à des solutions uniformes, applicables schématiquement. Les manifestations de la vie économique revêtent en effet des formes si diverses et si imprévues qu'il faut laisser à la pratique des autorités administratives et à la prudence des juges le soin de décider dans chaque cas particulier si l'on est en présence d'une activité dépendante ou indépendante. La décision sera dictée, généralement, par la prédominance de certains éléments, tels que les rapports de subordination ou le risque supporté, sur d'autres, qui parlent en faveur de l'indépendance de l'assuré, ou vice versa (cf. p.ex. ATFA 1967 pp. 80, 225 et 228; 1966 p. 202; RCC 1971 pp. 27, 90, 148; 1970 pp. 375, 379, 447, 449; 1969 pp. 463, 689; 1967 p. 428; 1966 pp. 187, 570 et la jurisprudence citée).</w:t>
      </w:r>
    </w:p>
    <w:p>
      <w:r>
        <w:rPr>
          <w:b/>
        </w:rPr>
        <w:t>E. 3</w:t>
      </w:r>
    </w:p>
    <w:p>
      <w:r>
        <w:t>Au regard des principes exposés ci-dessus, c'est à bon droit que le premier juge a considéré que Félix Christen ne pouvait pas être qualifié de personne de condition indépendante. En particulier, les sous-traitants ne peuvent qu'exceptionnellement revêtir cette qualité, soit s'il est établi que les caractéristiques de la libre entreprise dominent manifestement et si l'on peut admettre, d'après les circonstances, que les intéressés traitent sur un pied d'égalité avec l'entrepreneur qui leur a confié le travail (v. p.ex. RCC 1970 p. 375). Or tel n'est manifestement pas le cas en l'occurrence. Et, s'il est vrai que le fait que la Caisse nationale considère un individu comme exploitant au sens de la LAMA peut constituer un indice en faveur d'une activité indépendante (v. p.ex. RCC 1970 p. 375), cela ne BGE 97 V 217 S. 220 saurait suffire en l'espèce à faire admettre un semblable statut. C'est avec raison enfin que le jugement attaqué relève que le recours à des tiers en qualité d'auxiliaires n'était pas incompatible avec la situation de salarié de la maison Schmalz SA (v. p.ex. RCC 1970 p. 447; 1969 p. 463). C'est donc à tort que des cotisations paritaires n'ont pas été acquittées sur les salaires aujourd'hui litigieux. Vu l'art. 39 RAVS, la caisse de compensation intimée avait le devoir d'en réclamer le paiement, sous réserve de remboursement à l'assuré des cotisations versées en trop (v. ch. 179 ss des directives sur la perception des cotisations, de l'Office fédéral des assurances sociales).</w:t>
      </w:r>
    </w:p>
    <w:p>
      <w:r>
        <w:rPr>
          <w:b/>
        </w:rPr>
        <w:t>E. 4</w:t>
      </w:r>
    </w:p>
    <w:p>
      <w:r>
        <w:t>Reste à examiner si le principe de la bonne foi justifie en l'espèce une solution différente. Il n'en est rien. En effet, selon la jurisprudence, ce principe ne saurait limiter la réclamation de cotisations arriérées que dans les cas où des circonstances tout à fait spéciales peuvent faire apparaître cette mesure comme incompatible avec la sécurité du droit ou comme simplement inéquitable (v. p.ex. ATFA 1967 p. 86; 1966 p. 81; 1963 pp. 99, 172, 179; RCC 1968 p. 148). Il a été jugé que de faux renseignements d'un organe administratif compétent peuvent, à l'occasion, lier l'assurance. Tel est le cas lorsque l'intéressé n'était pas en mesure de reconnaître leur inexactitude et que, sur la base des renseignements donnés sans réserve, il a pris des dispositions irréversibles (v. p.ex. ATFA 1967 p. 35). Or, en l'espèce, la perception des cotisations paritaires arriérées, non prescrites, dues sur des salaires payés en 1968, n'est ni incompatible avec la sécurité du droit ni inéquitable (v. ATFA 1959 p. 25), même s'il peut en résulter pour l'employeur l'obligation de régler compte avec son ancien collaborateur, auquel, le cas échéant, des cotisations personnelles déjà versées pourraient être remboursées conformément aux directives mentionnées plus haut et à la jurisprudence qui y est citée (v. notamment les ch. 189 à 191). Peu importe à cet égard que la part du salarié puisse ou non être payée après coup (RCC 1951 p. 423; v. également ATFA 1963 p. 179 et RCC 1958 p. 97). En outre, aucunes dispositions irréversibles n'ont été prises en l'occurrence au vu des divers renseignements fournis par les organes de l'AVS. La protection de tous les intérêts en jeu sera enfin le mieux garantie par le rétablissement - encore possible - d'un ordre conforme aux règles légales et jurisprudentielles (v. p.ex. ATFA 1969 p. 93 et les arrêts déjà cités, BGE 97 V 217 S. 221 s'agissant notamment de réclamation de cotisations arriérées en dépit d'une déclaration antérieure exprimant une opinion contraire et de renseignements inexacts émanant de l'organe de révision, non de la caisse de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