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872</w:t>
      </w:r>
    </w:p>
    <w:p>
      <w:r>
        <w:t>Bundesgericht (BGE), 1971-01-01, IT</w:t>
      </w:r>
    </w:p>
    <w:p>
      <w:r>
        <w:rPr>
          <w:b/>
        </w:rPr>
        <w:t xml:space="preserve">Quelle: </w:t>
      </w:r>
      <w:r>
        <w:t>https://mcp.opencaselaw.ch/entscheid/bge_BGE_97_I_872</w:t>
      </w:r>
    </w:p>
    <w:p>
      <w:r>
        <w:t>FR: ATF 97 I 872</w:t>
      </w:r>
    </w:p>
    <w:p>
      <w:r>
        <w:t>IT: DTF 97 I 872</w:t>
      </w:r>
    </w:p>
    <w:p>
      <w:pPr>
        <w:pStyle w:val="Heading2"/>
      </w:pPr>
      <w:r>
        <w:t>Regeste</w:t>
      </w:r>
    </w:p>
    <w:p>
      <w:r>
        <w:t>Regeste Enteignung von aus dem Grundeigentum hervorgehenden Nachbarrechten. Art. 5 EntG. 1. Fall einer Seilbahn für den Transport von Holz, die nach der Inbetriebnahme einer Nationalstrasse nicht mehr weiterbestehen kann. Vorschriften des Tessiner Rechts über solche Seilbahnen (Erw. 2). 2. Besteht die Seilbahn aufgrund eines als Dienstbarkeit bestellten Leitungsrechts (Art. 676 ZGB) oder aufgrund nachbarrechtlicher Verhältnisse (Art. 691 ZGB)? (Erw. 3). 3. Voraussetzungen, unter denen der Inhaber der Seilbahn eine Enteignungsentschädigung verlangen kann (Erw. 4).</w:t>
      </w:r>
    </w:p>
    <w:p>
      <w:r>
        <w:t>Regeste Expropriation de droits dérivant des dispositions sur les rapports de voisinage (art. 5 LEx). 1. Cas d'un téléphérique pour le transport de bois qui ne peut plus être exploité depuis la mise en service d'une route nationale. Mesure dans laquelle de telles installations sont régies par le droit tessinois (consid. 2). 2. Le téléphérique existe-t-il en vertu d'une servitude de conduite (art. 676 CC) ou en vertu des rapports de voisinage (art. 691 CC)? (consid. 3). 3. Conditions nécessaires pour que le propriétaire du téléphérique puisse réclamer une indemnité d'expropriation (consid. 4).</w:t>
      </w:r>
    </w:p>
    <w:p>
      <w:r>
        <w:t>Regesto Espropriazione di diritti in materia di rapporti di vicinato (art. 5 LEspr.). 1. Caso d'una teleferica per il trasporto del legname che non può più sussistere con l'entrata in esercizio di una strada nazionale. Modo in cui tali teleferiche sono disciplinate nel diritto ticinese (consid. 2). 2. La teleferica esiste in virtù d'une condotta costituita come servitù (art. 676 CC) oppure in base a rapporti di vicinato (art. 691 CC)? (consid. 3). 3. Requisiti perchè il titolare della teleferica possa reclamare un'indennità di espropriazione (consid. 4).</w:t>
      </w:r>
    </w:p>
    <w:p>
      <w:pPr>
        <w:pStyle w:val="Heading2"/>
      </w:pPr>
      <w:r>
        <w:t>Erwägungen</w:t>
      </w:r>
    </w:p>
    <w:p>
      <w:r>
        <w:rPr>
          <w:b/>
        </w:rPr>
        <w:t>E. 1</w:t>
      </w:r>
    </w:p>
    <w:p>
      <w:r>
        <w:t>(Quesiti non più litigiosi).</w:t>
      </w:r>
    </w:p>
    <w:p>
      <w:r>
        <w:rPr>
          <w:b/>
        </w:rPr>
        <w:t>E. 2</w:t>
      </w:r>
    </w:p>
    <w:p>
      <w:r>
        <w:t>Dal profilo amministrativo, nel cantone Ticino, l'impianto di fili a sbalzo - più propriamente telefori - è disciplinato dalla Legge sulle funi metalliche del 13 dicembre 1912 (art. 21-24). In quanto si tratta di telefori di interesse privato, essi soggiacciono alla concessione dell'ispettorato forestale di circondario (art. 22). Sennonché, il termine di "concessione" usato dal legislatore cantonale è giuridicamente inesatto e deve intendersi nel senso di autorizzazione di polizia, la quale, di regola, non fonda diritti acquisiti (RU 87 I 424 e sentenze ivi citate, 90 I 13 consid. 5 a). Difatti, in concreto, la "concessione" prevista dalla legge cantonale è dettata unicamente da motivi di sicurezza ed intende preservare persone e cose dai pericoli inerenti all'esercizio della teleferica. L'art. 24 della legge impone la prestazione di una cauzione a garanzia del risarcimento di eventuali danni procurati a terzi. BGE 97 I 872 S. 876 Non è quindi dall'esistenza di siffatta concessione (recte: autorizzazione) che il titolare può dedurre diritti nei confronti dell'espropriante.</w:t>
      </w:r>
    </w:p>
    <w:p>
      <w:r>
        <w:rPr>
          <w:b/>
        </w:rPr>
        <w:t>E. 3</w:t>
      </w:r>
    </w:p>
    <w:p>
      <w:r>
        <w:t>Dal profilo civile, una teleferica costituisce una condotta, che cade sotto l'art. 676 CC, se è costituita come servitù, ed è disciplinata, invece, dall'art. 691 CC, se esiste in virtù dei rapporti di vicinato (art. 676 cpv. 2 CC). La nozione di condotta è eguale nei due articoli (HAAB, N. 9 all'art. 691). L'art. 21 della già citata legge cantonale dichiara coerentemente che i telefori di utilità privata sono sottoposti alle norme stabilite dagli art. 691, 692 e 693 CC. Il proprietario del bosco n. 1240, rispettivamente i suoi successori in diritto, non affermano che fossero al beneficio di una servitù. La costituzione di una servitù esige necessariamente la stipulazione di una convenzione scritta col proprietario del fondo gravato (art. 732 CC) e ciò anche se si tratta della servitù di condotta di cui all'art. 676 CC (HAAB, N. 9, MEIER-HAYOZ, N. 20 all'art. 676). Del resto, in concreto, la costituzione di una servitù appare poco probabile già per il fatto che la teleferica, pur attraversando fondi di terzi, aveva la propria stazione di arrivo su un terreno appartenente alla moglie del proprietario del bosco. Più probabile e verosimile è che il diritto di condotta si fondi sull'art. 691 CC. Non basta però che le condizioni di legge siano date. Occorre che l'interessato faccia valere con successo la pretesa fondata sul citato articolo e sia in grado di esibire sia una sentenza favorevole sia l'accordo del proprietario del fondo gravato. Tra le condizioni dell'art. 691 CC figura il pagamento di un'indennità; se la messa in esercizio della condotta avviene prima di tale pagamento, il proprietario del fondo gravato può insorgere contro la turbativa sia con un'azione negatoria sia con un'azione possessoria (HAAB, N. 10, LEEMANN, N. 25-26 all'art. 691). Inoltre, è indispensabile che la condotta non possa essere compiuta senza servirsi del fondo stesso o senza spese eccessive (art. 691 cpv. 1 in fine CC). L'autorizzazione impartita dalle autorità amministrative non pregiudica in nessuna maniera la questione di sapere se l'interessato possa invocare, per la costituzione del diritto di condotta, i rapporti di vicinato (HAAB, N. 2 in fine all'art. 691). Gli elementi di fatto che risultano dall'incarto e gli accertamenti eseguiti dalla Commissione non permettono tuttavia di BGE 97 I 872 S. 877 rispondere a tali questioni. È opportuno che i fatti vengano completati dalla stessa Commissione.</w:t>
      </w:r>
    </w:p>
    <w:p>
      <w:r>
        <w:rPr>
          <w:b/>
        </w:rPr>
        <w:t>E. 4</w:t>
      </w:r>
    </w:p>
    <w:p>
      <w:r>
        <w:t>Se dovesse risultare che Claudio Gemetti, rispettivamente i suoi successori in diritto, vantano un diritto di condotta per l'uso del teleforo fondato sull'art. 691 CC, bisognerebbe allora statuire l'obbligo dell'espropriante al versamento di una indennità. Rapporti di vicinato possono, difatti, formare oggetto di espropriazione, sia che essi vengano soppressi sia che vengano semplicemente ridotti (art. 5 LEspr. HESS, N. 3-4 all'art. 5 LEspr.). Nell'ipotesi considerata, l'esercizio dell'autostrada conforme alla sua destinazione provocherebbe perlomeno una limitazione del diritto dei proprietari del bosco, dedotto dal diritto di vicinato, di usufruire di una teleferica per il trasporto della legna, obbligandoli a stabilire, d'ora in poi, la stazione di arrivo sulla sponda sinistra del fiume, con tutti gli inconvenienti ed il danno già rilevati dall'istanza inferiore. Ai proprietari dovrebbe esser riconosciuta la qualità di espropriati, anche se essi non devono cedere all'espropriante nessuna superficie del bosco. La situazione non è dissimile da quella che ha giustificato il riconoscimento della qualità di espropriati ed il diritto ad un'indennità ai proprietari che, pur non dovendo cedere nessuna superficie all'espropriante, si vedono colpiti nei loro diritti di vicinato dalle immissioni eccessive provenienti dall'opera dell'espropriante (RU 94 I 297 e segg., 95 I 493/494). Qualora, invece, le premesse dell'art. 691 CC non fossero adempiute, bisognerebbe concludere che i proprietari dei fondi attraversati dalla teleferica non hanno assunto che un impegno di portata obbligatoria o accordato una semplice concessione precaria (HAAB, N. 2 all'art. 691) e che i proprietari del bosco non sono titolari che di un diritto personale, non suscettibile di essere espropriato ed indennizzato.</w:t>
      </w:r>
    </w:p>
    <w:p>
      <w:r>
        <w:rPr>
          <w:b/>
        </w:rPr>
        <w:t>E. 5</w:t>
      </w:r>
    </w:p>
    <w:p>
      <w:r>
        <w:t>e 6. - ... Dispositiv Il Tribunale fedederale pronuncia: Il ricorso dell'espropriante è accolto e la causa rinviata alla precedente istanza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