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619</w:t>
      </w:r>
    </w:p>
    <w:p>
      <w:r>
        <w:t>Bundesgericht (BGE), 1971-10-13, DE</w:t>
      </w:r>
    </w:p>
    <w:p>
      <w:r>
        <w:rPr>
          <w:b/>
        </w:rPr>
        <w:t xml:space="preserve">Quelle: </w:t>
      </w:r>
      <w:r>
        <w:t>https://mcp.opencaselaw.ch/entscheid/bge_BGE_97_I_619</w:t>
      </w:r>
    </w:p>
    <w:p>
      <w:r>
        <w:t>FR: ATF 97 I 619</w:t>
      </w:r>
    </w:p>
    <w:p>
      <w:r>
        <w:t>IT: DTF 97 I 619</w:t>
      </w:r>
    </w:p>
    <w:p>
      <w:pPr>
        <w:pStyle w:val="Heading2"/>
      </w:pPr>
      <w:r>
        <w:t>Regeste</w:t>
      </w:r>
    </w:p>
    <w:p>
      <w:r>
        <w:t>Regeste Namensänderung, rechtliches Gehör. Der unmittelbar aus Art. 4 BV abgeleitete Anspruch des Vaters, zu einem Gesuch um Änderung des Namens seines bei der Ehescheidung der Mutter zugeteilten Kindes Stellung nehmen zu können (BGE 83 I 239, 89 I 155), besteht nur bis zur Mündigkeit des Kindes.</w:t>
      </w:r>
    </w:p>
    <w:p>
      <w:r>
        <w:t>Regeste Changement de nom, droit d'être entendu. Le droit du père, découlant directement de l'art. 4 Cst, de pouvoir se déterminer sur une requête tendant au changement du nom de son enfant attribué à la mère lors du divorce (RO 83 I 239, 89 I 155) n'existe que jusqu'à la majorité de l'enfant.</w:t>
      </w:r>
    </w:p>
    <w:p>
      <w:r>
        <w:t>Regesto Cambiamento di nome, diritto di essere sentito. Il diritto del padre, sgorgante direttamente dall'art. 4 CF, di potersi esprimere su una domanda volta al cambiamento del nome di suo figlio assegnato alla madre in sede di divorzio (RU 83 I 239, 89 I 155) sussiste solo sinchè il figlio non è maggiorenne.</w:t>
      </w:r>
    </w:p>
    <w:p>
      <w:pPr>
        <w:pStyle w:val="Heading2"/>
      </w:pPr>
      <w:r>
        <w:t>Erwägungen</w:t>
      </w:r>
    </w:p>
    <w:p>
      <w:r>
        <w:rPr>
          <w:b/>
        </w:rPr>
        <w:t>E. 1</w:t>
      </w:r>
    </w:p>
    <w:p>
      <w:r>
        <w:t>Der Regierungsrat hat seinen Entscheid dem Beschwerdegegner sowie den Gemeinderäten seiner Heimatgemeinden und seiner Wohnsitzgemeinde mitgeteilt und ihn gemäss Art. 30 Abs. 2 ZGB /§ 47 zürch. EG/ZGB im kantonalen Amtsblatt vom 5. Januar 1971 veröffentlicht. Es fragt sich, ob die 30-tägige Frist zur staatsrechtlichen Beschwerde ( Art. 89 Abs. 1 OG ), für den Beschwerdeführer schon mit dieser Veröffentlichung oder erst mit der am 5. Juli 1971 erfolgten Zustellung einer Ausfertigung an ihn zu laufen begann. Sofern der Beschwerdeführer, wie er mit der Beschwerde geltend macht, einen Anspruch auf Anhörung zum Namensänderungsgesuch hatte, hätte ihm auch der Entscheid über dieses Gesuch persönlich mitgeteilt werden sollen. Die Veröffentlichung BGE 97 I 619 S. 621 im kantonalen Amtsblatt hätte diese persönliche Eröffnung oder Mitteilung nicht ersetzt. Es erscheint daher richtig, die Frist zur staatsrechtlichen Beschwerde nicht schon von der Veröffentlichung des Entscheids oder der zufälligen Kenntnisnahme des Beschwerdeführers an beginnen zu lassen, sondern erst von der Zustellung einer Ausfertigung an ihn am 5. Juli 1971 (vgl. BGE 35 I 105 E. 1; BIRCHMEIER, Handbuch des OG S. 384 N. 2 b). Die am 2. August 1971 eingereichte Beschwerde ist somit rechtzeitig.</w:t>
      </w:r>
    </w:p>
    <w:p>
      <w:r>
        <w:rPr>
          <w:b/>
        </w:rPr>
        <w:t>E. 2</w:t>
      </w:r>
    </w:p>
    <w:p>
      <w:r>
        <w:t>Im Jahre 1962 hat die Mutter des damals noch unmündigen Beschwerdegegners für diesen ein Namensänderungsgesuch gestellt, zu dem der Beschwerdeführer Stellung nehmen konnte und auch nahm. Sofern der leibliche Vater auch bei Mündigkeit des Kindes einen Anspruch auf Anhörung zu dessen Gesuch um Namensänderung haben sollte, wäre diesem Anspruch nicht schon durch seine Anhörung in jenem früheren, durch Rückzug des Gesuchs dahingefallenen Verfahren Genüge getan. Da das zweite Verfahren nicht einfach die Fortsetzung des früheren, sondern ein neues selbständiges Verfahren ist, hätte er vielmehr Anspruch, im neuen Verfahren wiederum angehört zu werden, wobei er Gründe und Tatsachen vorbringen könnte, die er im früheren Verfahren nicht geltend machte oder die erst seither eingetreten sind ( BGE 89 I 157 /58).</w:t>
      </w:r>
    </w:p>
    <w:p>
      <w:r>
        <w:rPr>
          <w:b/>
        </w:rPr>
        <w:t>E. 3</w:t>
      </w:r>
    </w:p>
    <w:p>
      <w:r>
        <w:t>Die II. Zivilabteilung des Bundesgerichts hat in BGE 76 II 342 E. 2 ausgeführt, es sei nicht nur ein Recht des Kindes, den Namen des Vaters zu führen, sondern auch ein Recht des Vaters, dass seine Kinder keinen andern Namen als den seinen erhalten. Daher sei, wenn für ein Kind ein Namensänderungsgesuch gestellt werde, auch das Interesse des Vaters zu berücksichtigen und ihm Gelegenheit zu geben, zum Gesuch Stellung zu nehmen; werde dies unterlassen, so könne der Vater dies freilich nicht mit der in Art. 30 Abs. 3 ZGB vorgesehenen Klage, sondern "höchstens mit staatsrechtlicher Beschwerde wegen Verletzung des Art. 4 BV " rügen. Die staatsrechtliche Kammer hat sich dieser Auffassung angeschlossen, ohne sich mitihr auseinanderzusetzen. Sie hat, obwohl in BGE 76 II 339 E. 1 dem Vater ein klagbarer zivilrechtlicher Anspruch darauf, dass sein Kind seinen Namen behalte, abgesprochen wurde, in ständiger Rechtsprechung stillschweigend angenommen, er habe doch ein schutzwürdiges Interesse hieran, und im Hinblick auf dieses Interesse habe er grundsätzlich BGE 97 I 619 S. 622 einen unmittelbar aus Art. 4 BV folgenden Anspruch darauf, von dem für das Kind gestellten Namensänderungsgesuch und seiner Begründung Kenntnis zu erhalten und dazu im einzelnen Stellung zu nehmen ( BGE 83 I 239 und BGE 89 I 155 E. 2 je mit Hinweisen auf weitere, nicht veröffentlichte Urteile). Ferner betrachtete es, wiederum ohne nähere Begründung, den Vater als legitimiert, die nach seiner Anhörung bewilligte Namensänderung mit staatsrechtlicher Beschwerde wegen Willkür anzufechten (nicht veröffentl. Urteile vom 17. Juni 1964 i.S. Schwegler, vom 30. Juni 1965 i.S. Roth und vom 4. Mai 1966 i.S. Letter). In allen diesen Fällen handelte es sich um die Namensänderung von Kindern, die noch unmündig waren. Dass der Vater solcher Kinder zu dem von der Mutter für sie gestellten Namensänderungsgesuch angehört werden muss, wird weder vom Regierungsrat des Kantons Zürich noch vom Beschwerdegegner bestritten, so dass kein Anlass besteht, die dahingehende bisherige Rechtsprechung zu überprüfen; bemerkt sei immerhin, dass der in BGE 76 II 342 E. 2 geäusserten Auffassung, beim Fehlen der Eltern müssten die Grosseltern und Geschwister angehört werden, kaum gefolgt werden könnte. Streitig ist einzig die bisher vom Bundesgericht offenbar noch nie beurteilte Frage, ob der Vater unmittelbar aufgrund von Art. 4 BV Anspruch darauf hat, zu einem von seinem mündigen Sohn gestellten Namensänderungsgesuch Stellung nehmen zu können.</w:t>
      </w:r>
    </w:p>
    <w:p>
      <w:r>
        <w:rPr>
          <w:b/>
        </w:rPr>
        <w:t>E. 4</w:t>
      </w:r>
    </w:p>
    <w:p>
      <w:r>
        <w:t>Der Entscheid hierüber hängt davon ab, ob zwischen dem Fall des unmündigen und dem des mündigen Kindes Unterschiede bestehen, im Hinblick auf die beim mündigen Kind ein Recht des Vaters auf Anhörung zu verneinen ist. a) Das Gesuch um Änderung des Namens des bei der Scheidung der Mutter zugeteilten Kindes kann von diesem, wenn es urteilsfähig ist, wohl nur mit Zustimmung der Mutter gestellt werden (EGGER N. 15 zu Art. 19 und N. 9 zu Art. 30 ZGB ) und wird in der Regel von der Mutter gestellt. Obwohl der Regierungsrat, der über das Gesuch entscheidet, von Amtes wegen zu prüfen hat, ob wichtige Gründe im Sinne von Art. 30 Abs. 1 ZGB vorliegen, erscheint es geboten, auch den Vater dazu anzuhören. Dieser hat - neben der Beitragspflicht nach Art. 156 Abs. 2 ZGB - ein Recht auf angemessenen persönlichen Verkehr mit dem Kinde ( Art. 156 Abs. 3 ZGB ), das ihm nur aus schwerwiegenden Gründen entzogen werden BGE 97 I 619 S. 623 darf (vgl. BGE 89 II 4 ff.). Sodann besteht bis zur Mündigkeit des Kindes die Möglichkeit, dass die elterliche Gewalt wegen Änderung der Verhältnisse wieder dem Vater zugeteilt wird ( Art. 157 ZGB ), so vor allem, wenn die Mutter stirbt oder ihr die elterliche Gewalt entzogen wird (vgl. BGE 47 II 383 Nr. 64, BGE 82 II 474 ). b) Diese weiterbestehenden Rechtsbeziehungen zwischen dem Vater und dem der Mutter zugeteilten Kinde fallen mit der Mündigkeit der Kinder dahin. Die Beitragspflicht hört grundsätzlich auf (vgl. BGE 61 II 216 E. 2), und das Recht des Vaters auf den persönlichen Verkehr wird zum sittlichen Recht, dem eine sittliche Pflicht des Kindes entspricht (BELZA, Das Verhältnis zwischen dem Kinde und dem geschiedenen Elternteil, dem das Kind nicht zugewiesen wurde, Diss. Freiburg 1946 S. 24). Soweit zwischen dem Vater und dem mündigen Kind rechtliche Beziehungen bestehen bleiben, sind sie gegenseitig, so die Unterstützungspflicht nach Art. 328 ZGB , das Erbrecht (Art. 457/58 ZGB) und die Rücksichts- und Beistandspflicht nach Art. 271 ZGB . Das Kind erlangt mit der Mündigkeit die Fähigkeit, alle Rechte und namentlich seine Persönlichkeitsrechte, zu denen auch das Recht auf den Namen gehört, unabhängig von den Eltern auszuüben. Es kann insbesondere völlig frei wichtige Entscheidungen treffen, die jedenfalls in tatsächlicher Hinsicht auch für die Beziehungen zu den Eltern von grosser Bedeutung sind, wie Heirat, Auswanderung, Erwerb einer fremden Staatsangehörigkeit, Anerkennung eines ausserehelichen Kindes, Adoption usw. Es kann sich schliesslich ohne Zustimmung seiner Eltern selber adoptieren lassen und dadurch einen andern Namen als den seines Vaters erwerben ( Art. 268 Abs. 1 ZGB ). Angesichts dieser weitgehenden Selbständigkeit des mündigen Kindes im Verhältnis zu seinen Eltern rechtfertigt es sich nicht, dann, wenn es ein Gesuch um Namensänderung stellt, seinem Vater (und seiner Mutter) ein Mitspracherecht in der Form eines unmittelbar aus Art. 4 BV abgeleiteten Anspruchs auf Stellungnahme zum Gesuch und zu den darin als "wichtige Gründe" im Sinne von Art. 30 Abs. 1 ZGB geltend gemachten Umständen einzuräumen. Die vorliegende Beschwerde, mit der ein solcher Anspruch erhoben wird,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