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178</w:t>
      </w:r>
    </w:p>
    <w:p>
      <w:r>
        <w:t>Bundesgericht (BGE), 1971-01-01, FR</w:t>
      </w:r>
    </w:p>
    <w:p>
      <w:r>
        <w:rPr>
          <w:b/>
        </w:rPr>
        <w:t xml:space="preserve">Quelle: </w:t>
      </w:r>
      <w:r>
        <w:t>https://mcp.opencaselaw.ch/entscheid/bge_BGE_97_I_178</w:t>
      </w:r>
    </w:p>
    <w:p>
      <w:r>
        <w:t>FR: ATF 97 I 178</w:t>
      </w:r>
    </w:p>
    <w:p>
      <w:r>
        <w:t>IT: DTF 97 I 178</w:t>
      </w:r>
    </w:p>
    <w:p>
      <w:pPr>
        <w:pStyle w:val="Heading2"/>
      </w:pPr>
      <w:r>
        <w:t>Regeste</w:t>
      </w:r>
    </w:p>
    <w:p>
      <w:r>
        <w:t>Regeste Bau der Nationalstrassen. 1. Erwerb des erforderlichen Landes im Enteignungs- oder im Landumlegungsverfahren (Art. 30 NSG)? Verhältnis zwischen den beiden Verfahren, von denen das eine durch das Bundesrecht, das andere durch das kantonale Recht geregelt wird. 2. Anspruch auf Entschädigung wegen Verletzung der aus dem Grundeigentum hervorgehenden Nachbarrechte (Art. 684 ZGB und 5 EntG). Bei welcher Behörde und in welchem Zeitpunkt muss der Anspruch geltend gemacht werden?</w:t>
      </w:r>
    </w:p>
    <w:p>
      <w:r>
        <w:t>Regeste Construction des routes nationales 1. Acquisition des terrains nécessaires par voie d'expropriation ou au moyen d'un remaniement parcellaire (art. 30 LRN)? Rapport entre ces deux procédés, relevant l'un du droit fédéral, l'autre du droit cantonal. 2. Demande d'indemnité pour atteinte aux droits découlant des règles sur les rapports de voisinage (art. 684 CC et 5 LEx). Auprès de quelle autorité et à quelle époque doit-elle être présentée?</w:t>
      </w:r>
    </w:p>
    <w:p>
      <w:r>
        <w:t>Regesto Costruzione delle strade nazionali. 1. Acquisto dei terreni necessari nella procedura espropriativa o nella procedura della rilottizzazione (art. 30 LSN)? Rapporto tra le due procedure, di cui l'una è disciplinata dal diritto federale, l'altra dal diritto cantonale. 2. Richiesta d'indennità per violazione dei diritti sgorganti dalle norme sui rapporti di vicinato (art. 684 CC e 5 LEspr.) Davanti a quale autorità e a quale momento la pretesa deve essere sollevata?</w:t>
      </w:r>
    </w:p>
    <w:p>
      <w:pPr>
        <w:pStyle w:val="Heading2"/>
      </w:pPr>
      <w:r>
        <w:t>Erwägungen</w:t>
      </w:r>
    </w:p>
    <w:p>
      <w:r>
        <w:rPr>
          <w:b/>
        </w:rPr>
        <w:t>E. 2</w:t>
      </w:r>
    </w:p>
    <w:p>
      <w:r>
        <w:t>a) La lettre de l'hoirie Martin du 11 octobre 1968 visait un triple but: l'extension de l'expropriation à une bande de terrain située hors de l'emprise prévue, puis une compensation BGE 97 I 178 S. 180 en nature ou à défaut une indemnité calculée sur la valeur du m2, enfin, semble-t-il, la réparation du dommage résultant pour la propriété de la proximité de l'autoroute. Les deux premières prétentions relevant de la procédure de remaniement parcellaire (Syndicat d'améliorations foncières No 20), c'est à bon droit que le président de la Commission fédérale d'estimation n'est pas entré en matière à leur sujet. En revanche, interprétant la troisième prétention comme une demande séparée d'indemnité pour atteinte aux droits découlant des règles sur les rapports de voisinage (art. 684 CC et 5 LEx.), il a estimé qu'elle relevait de la procédure d'expropriation No 150 ouverte pour le tronçon d'autoroute en cause. b) Cette prétention de l'hoirie Martin a été formulée avant l'achèvement du remaniement parcellaire actuellement en cours, ce qui soulève le problème de la relation entre le remaniement et l'expropriation. En effet, le législateur n'a pas prévu de solution unique quant au droit applicable et quant à l'autorité compétente pour statuer sur une prétention qui tend à la réparation du dommage causé par la proximité d'une autoroute. La loi fédérale sur les routes nationales laisse aux cantons, pour l'acquisition forcée des terrains, le choix entre deux procédés (art. 30 LRN): l'un, l'expropriation, régi par le droit fédéral (art. 39 LRN), l'autre, le remaniement parcellaire, dépendant du droit cantonal (art. 31 et 32 LRN). Le législateur a accordé la priorité au procédé de droit cantonal sur le procédé de droit fédéral (art. 30 al. 2 LRN). Par ailleurs, l'art. 21 de l'ordonnance d'exécution de la loi fédérale sur les routes nationales autorise les cantons à rendre la loi fédérale d'expropriation applicable à l'estimation des inconvénients qui peuvent subsister malgré l'attribution du nouveau terrain. La compétence des autorités chargées du remaniement parcellaire dépend ainsi du droit cantonal. Ces autorités peuvent - mais le droit fédéral ne les y oblige pas - faire intervenir dans leurs calculs une indemnité pour dépréciation de la parcelle restante, en appliquant par analogie la loi fédérale sur l'expropriation. Quant à l'époque à laquelle l'intéressé doit présenter sa prétention à la réparation du dommage causé par le voisinage de l'autoroute, il n'y a pas non plus de règle unique. Dans l'arrêt Emser-Werke AG (RO 92 I 176 ss.), le Tribunal fédéral a admis qu'un propriétaire qui, en vue de la construction d'une BGE 97 I 178 S. 181 autoroute, avait dû céder une partie de son immeuble dans le cadre d'un remaniement parcellaire, pouvait demander réparation de ce dommage, et cela après la fin du remaniement, le cas échéant au moyen d'une procédure spéciale. En l'espèce, les hoirs Martin ont allégué un dommage semblable bien avant la fin du remaniement parcellaire prévu. La question se pose alors de savoir si cette prétention doit être examinée par le Syndicat d'améliorations foncières, qui pourrait en tenir compte dans la nouvelle répartition des immeubles et dans le calcul d'une éventuelle soulte en argent, ce qui constituerait une réparation. La prétention serait alors définitivement jugée, et ne pourrait être reprise dans une procédure d'expropriation; le propriétaire aurait l'avantage de voir toutes ses prétentions réglées dans une seule et unique procédure. La situation juridique est ainsi incertaine, et peut être la source de difficultés que le Tribunal fédéral n'a pas à résoudre ici. Selon les cantons et selon le moment où elle est présentée, une prétention semblable à celle des hoirs Martin sera donc jugée soit par une autorité fédérale, soit par une autorité cantonale, et sur des bases différentes. Dans ces conditions, comme il n'est pas exclu que la prétention de l'hoirie Martin résultant du voisinage de l'autoroute soit retenue par les autorités compétentes pour le remaniement parcellaire, la Commission fédérale d'estimation doit s'abstenir d'entrer en matière tant que la décision qu'elles doivent prendre n'est pas connue, et attendre la fin de la procédure de remembrement. Il convient d'ailleurs de relever à ce sujet que, selon la jurisprudence du Tribunal fédéral, il faut que l'autoroute soit mise en exploitation pour juger de l'existence du dommage allégué, ainsi que de sa gravité (RO 94 I 286 ss. et 95 I 490). Cependant, c'est à bon droit que le président de la Commission fédérale d'estimation a statué immédiatement sur la recevabilité formelle de la demande de réparation du dommage causé par la proximité de l'autoroute, allégué par l'hoirie Martin. Il s'agit dès lors d'examiner si cette demande devait être jugée irrecevable.</w:t>
      </w:r>
    </w:p>
    <w:p>
      <w:r>
        <w:rPr>
          <w:b/>
        </w:rPr>
        <w:t>E. 3</w:t>
      </w:r>
    </w:p>
    <w:p>
      <w:r>
        <w:t>La décision attaquée a retenu deux motifs d'irrecevabilité: a) Elle considère d'abord que la prétention en cause n'a pas été présentée pendant le délai d'enquête de la procédure d'expropriation BGE 97 I 178 S. 182 No 150, dont elle relevait, ni été adressée à l'autorité compétente. Il est exact que son destinataire était la Commission fédérale d'estimation, c'est-à-dire une autorité incompétente pour la recevoir, puisque, selon les art. 35 et 36 LEx., elle aurait dû être produite en main de la Municipalité de Villette. Mais cette informalité était sans conséquence quant à l'observation du délai, en vertu de l'art. 21 al. 2 LPA, applicable aux Commissions fédérales d'estimation. Le destinataire réel de la demande était d'ailleurs la Commission d'estimation; si l'art. 35 LEx. fait de la municipalité l'autorité compétente pour recevoir oppositions et demandes relatives à l'expropriation, c'est dans l'intention de faciliter l'intervention des intéressés, qui ignorent souvent l'adresse de la commission. b) Les hoirs Martin ont commis une seconde informalité, celle qui a consisté à intervenir au cours de l'enquête d'expropriation No 147, qui ne concernait pas leur immeuble, au lieu d'attendre l'enquête d'expropriation No 150 dont il relevait. Cette erreur explique que la lettre du 11 octobre 1968 soit restée sans suite, mais elle est excusable, attendu que les procédures d'approbation du projet d'autoroute et d'expropriation se sont intercalées les unes dans les autres, puisque l'enquête d'approbation du projet No 150, qui intéressait les hoirs Martin, eut lieu peu avant l'enquête d'expropriation pour le projet No 147. Au demeurant, en se trompant d'enquête, les recourants ont agi, non pas tardivement, mais prématurément, par une sorte d'excès de diligence qu'on ne peut leur reprocher. En matière de procédure d'expropriation, dans laquelle l'administré est entraîné contre sa volonté et se trouve en face de l'Etat, un formalisme rigoureux ne se justifie pas. c) On peut encore relever que la demande de réparation contenue dans la lettre du 11 octobre 1968 n'était pas chiffrée, contrairement à ce qu'exige l'art. 36 lettre a LEx. Il a cependant été jugé qu'il s'agit là d'une simple règle d'ordre, et non pas d'une condition de validité formelle de la demande d'indemnité (RO 71 I 301/302 consid. 2). En l'espèce, les hoirs Martin, pas plus que les autorités d'estimation elles-mêmes, n'étaient en mesure d'évaluer le dommage avec quelque précision, tant que l'autoroute n'était ni construite ni mise en exploitation. Ainsi, en dépit de ces diverses informalités, la lettre du 11 octobre 1968 constitue une demande recevable d'indemnité pour le dommage résultant de la proximité de l'autoroute. BGE 97 I 178 S. 183 Sans qu'il y ait lieu de déterminer en outre si les conditions d'une production tardive selon l'art. 41 LEx. sont remplies, la Commission fédérale d'estimation doit par conséquent examiner cette demande quant au fond, sous réserve de ce qui va encore être dit.</w:t>
      </w:r>
    </w:p>
    <w:p>
      <w:r>
        <w:rPr>
          <w:b/>
        </w:rPr>
        <w:t>E. 4</w:t>
      </w:r>
    </w:p>
    <w:p>
      <w:r>
        <w:t>Pour les motifs exposés au considérant 2 ci-dessus, la Commission d'estimation devra attendre avant de statuer sur le fond que la procédure de remaniement parcellaire du Syndicat d'améliorations foncières No 20 soit achevée en ce qui concerne l'hoirie Martin, ou tout au moins que les autorités chargées de ce remaniement se soient prononcées sur leur compétence pour connaître de la prétention de l'hoirie à la réparation du dommage qu'elle allègue. Si, dans cette procédure, il a été statué d'une manière ou d'une autre sur cette prétention, celle-ci se trouvera liquidée sans que la Commission fédérale d'estimation ait encore à se prononcer. Si, en revanche, les organes du Syndicat d'améliorations foncières ont refusé de statuer eux-mêmes sur cette prétention au motif qu'elle n'était pas de leur compétence en vertu du droit cantonal, la Commission fédérale devra se prononcer, après que les hoirs Martin auront été invités à chiffrer, au moins approximativement, leur prétention, comme aussi à la motiver.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