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68</w:t>
      </w:r>
    </w:p>
    <w:p>
      <w:r>
        <w:t>Bundesgericht (BGE), 1971-01-01, DE</w:t>
      </w:r>
    </w:p>
    <w:p>
      <w:r>
        <w:rPr>
          <w:b/>
        </w:rPr>
        <w:t xml:space="preserve">Quelle: </w:t>
      </w:r>
      <w:r>
        <w:t>https://mcp.opencaselaw.ch/entscheid/bge_BGE_97_IV_68</w:t>
      </w:r>
    </w:p>
    <w:p>
      <w:r>
        <w:t>FR: ATF 97 IV 68</w:t>
      </w:r>
    </w:p>
    <w:p>
      <w:r>
        <w:t>IT: DTF 97 IV 68</w:t>
      </w:r>
    </w:p>
    <w:p>
      <w:pPr>
        <w:pStyle w:val="Heading2"/>
      </w:pPr>
      <w:r>
        <w:t>Regeste</w:t>
      </w:r>
    </w:p>
    <w:p>
      <w:r>
        <w:t>Regeste 1. Art. 269 Abs. 1 BStP. In einer dem kantonalen Recht unterstellten Strafsache kann die Nichtanwendung der Art. 32 ff. StGB nicht als Verletzung eidgenössischen Rechts gerügt werden (Erw. 1). 2. Art. 268 Ziff. 1 BStP. Die blosse Androhung von Strafe für künftigen Ungehorsam (Art. 292 StGB) ist mit der Nichtigkeitsbeschwerde nicht anfechtbar (Erw. 2).</w:t>
      </w:r>
    </w:p>
    <w:p>
      <w:r>
        <w:t>Regeste 1. Art. 269 al. 1 PPF. Lorsque, dans un domaine régi par le droit pénal réservé aux cantons, il n'est pas fait application des art. 32 ss. CP, cela ne constitue pas une violation du droit fédéral (consid. 1). 2. Art. 268 ch. 1 PPF. On ne peut se pourvoir en nullité contre la seule menace de la peine prévue à l'art. 292 CP en cas d'insoumission à une décision de l'autorité (consid. 2).</w:t>
      </w:r>
    </w:p>
    <w:p>
      <w:r>
        <w:t>Regesto 1. Art. 269 cpv. 1 PPF. La mancata applicazione degli art. 32 e segg. CP in una causa penale sottoposta al diritto cantonale non costituisce violazione del diritto federale (consid. 1). 2. Art. 268 num. 1 PPF. La semplice minaccia di una pena per futura disubbidienza a decisione dell'autorità (art. 292 CP) non è impugnabile con il ricorso per cassazione (consid. 2).</w:t>
      </w:r>
    </w:p>
    <w:p>
      <w:pPr>
        <w:pStyle w:val="Heading2"/>
      </w:pPr>
      <w:r>
        <w:t>Erwägungen</w:t>
      </w:r>
    </w:p>
    <w:p>
      <w:r>
        <w:rPr>
          <w:b/>
        </w:rPr>
        <w:t>E. 1</w:t>
      </w:r>
    </w:p>
    <w:p>
      <w:r>
        <w:t>Die Ausübung der Chiropraktik bedarf im Kanton Graubünden einer Bewilligung des Sanitätsdepartements (Art. 27 bis der kantonalen Sanitätsordnung vom 6. September 1953/4. November 1962 und Art. 1 der kantonalen Verordnung über die Chiropraktik vom 9. Dezember 1963). Die Widerhandlung gegen diese Vorschrift wird gemäss Art. 12 der Verordnung über die Chiropraktik auf Grund der Strafbestimmung des Art. 33 der Sanitätsordnung als Übertretung mit Busse geahndet. Der angefochtene Entscheid, durch den die Beschwerdeführerin wegen unerlaubter chiropraktischer Tätigkeit in Anwendung von Art. 33 der kantonalen Sanitätsordnung zu einer Busse von Fr. 500.-- verurteilt wurde, stützt sich somit auf kantonales Recht ( Art. 335 Ziff. 1 StGB ). Die ausgefällte Strafe kann daher vor dem Kassationshof des Bundesgerichts, der nur die Verletzung von Bundesrecht überprüfen kann, nicht angefochten werden ( Art. 269 Abs. 1 und Art. 273 Abs. 1 lit. b BStP ). Ist die Strafe in Anwendung kantonalen Übertretungsstrafrechts ausgefällt worden, so beurteilt sich nach diesem Recht auch, ob die Beschwerdeführerin bei der Widerhandlung in Erfüllung einer Berufspflicht, in einem Notstand oder sonstwie zur Wahrung berechtigter Interessen gehandelt habe. Wenn die Vorinstanz keine Rechtfertigungsgründe im Sinne der Art. 32 und 34 Ziff. 2 StGB in Betracht zog, was übrigens angesichts der groben Missachtung der Vorschriften über die Ausübung der Chiropraktik nahe lag, so kann auch diese Unterlassung nicht als Verletzung von Bundesrecht gerügt werden, denn die Vorinstanz hat die erwähnten eidgenössischen Bestimmungen in ihrer Eigenschaft als stellvertretendes kantonales Recht nicht angewendet ( BGE 84 IV 28 Nr. 10). BGE 97 IV 68 S. 70</w:t>
      </w:r>
    </w:p>
    <w:p>
      <w:r>
        <w:rPr>
          <w:b/>
        </w:rPr>
        <w:t>E. 2</w:t>
      </w:r>
    </w:p>
    <w:p>
      <w:r>
        <w:t>Die Beschwerdeführerin sieht darin, dass ihr für den Fall der Weiterführung der chiropraktischen Tätigkeit die Bestrafung gemäss Art. 292 StGB mit Haft oder Busse angedroht wird, eine Verletzung von Bundesrecht, weil der Ungehorsam gegen das Verbot der unerlaubten Berufsausübung bereits nach Art. 33 der kantonalen Sanitätsordnung mit Busse bestraft werde und daher für die Anwendung der subsidiären Bestimmung des Art. 292 StGB kein Raum bleibe ( BGE 90 IV 207 ). Auf diese Rüge ist nicht einzutreten. Die blosse Androhung von Strafe für künftigen Ungehorsam ist kein Urteil im Sinne des Art. 268 Ziff. 1 BStP , da durch die Androhung kein Rechtsnachteil ausgesprochen wird, der die Beschwerdeführerin beschwert ( BGE 96 IV 7 Erw. 1 und 67). Nur wenn sie in Anwendung von Art. 292 StGB bestraft worden wäre und wenn der kantonale Richter diese Bestimmung als eidgenössisches Recht angewendet hätte, wäre vom Kassationshof zu prüfen, ob der subsidiäre Charakter, den die Bestimmung im Bundesrecht hat, verkannt worden sei. Dispositiv Demnach erkennt der Kassationshof: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