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52</w:t>
      </w:r>
    </w:p>
    <w:p>
      <w:r>
        <w:t>Bundesgericht (BGE), 1971-01-01, DE</w:t>
      </w:r>
    </w:p>
    <w:p>
      <w:r>
        <w:rPr>
          <w:b/>
        </w:rPr>
        <w:t xml:space="preserve">Quelle: </w:t>
      </w:r>
      <w:r>
        <w:t>https://mcp.opencaselaw.ch/entscheid/bge_BGE_97_IV_52</w:t>
      </w:r>
    </w:p>
    <w:p>
      <w:r>
        <w:t>FR: ATF 97 IV 52</w:t>
      </w:r>
    </w:p>
    <w:p>
      <w:r>
        <w:t>IT: DTF 97 IV 52</w:t>
      </w:r>
    </w:p>
    <w:p>
      <w:pPr>
        <w:pStyle w:val="Heading2"/>
      </w:pPr>
      <w:r>
        <w:t>Regeste</w:t>
      </w:r>
    </w:p>
    <w:p>
      <w:r>
        <w:t>Regeste Art. 96 und 97 ZG, Art. 129 ZV. Bestimmung des Gerichtsstandes in Zollstrafsachen. 1. Zuständigkeit der Anklagekammer (Erw. 1). 2. Der Gerichtsstand zur Verfolgung und Beurteilung von Zollvergehen wird dadurch, dass diese mit strafbaren Handlungen anderer Art zusammentreffen, nicht beeinflusst (Erw. 2). 3. Frage offen gelassen, ob die Anklagekammer in Zollstrafsachen vom Gerichtsstand des Begehungsortes nach Ermessen abweichen darf (Erw. 3).</w:t>
      </w:r>
    </w:p>
    <w:p>
      <w:r>
        <w:t>Regeste Art. 96 et 97 LD, art. 129 RD. Désignation du for dans des affaires pénales douanières. 1. Compétence de la Chambre d'accusation (consid. 1). 2. Le for de la poursuite et du jugement de délits de douane n'est pas influencé par le fait que ceux-ci concourent avec des actes punissables d'une autre sorte (consid. 2). 3. La Chambre d'accusation peut-elle déroger selon son appréciation au for du lieu de la commission dans des affaires pénales douanières? Question laissée indécise (consid. 3).</w:t>
      </w:r>
    </w:p>
    <w:p>
      <w:r>
        <w:t>Regesto Art. 96 e 97 LD, art. 129 RD. Determinazione del foro nelle vertenze penali doganali. 1. Competenza della Camera d'accusa (consid. 1). 2. Il foro del perseguimento e del giudizio di reati doganali non è influenzato dal fatto che questi concorrono con atti punibili d'altra natura (consid. 2). 3. La Camera d'accusa può derogare, secondo il suo apprezzamento, al foro della perpetrazione del reato, nelle cause penali doganali? Quesito lasciato aperto (consid. 3).</w:t>
      </w:r>
    </w:p>
    <w:p>
      <w:pPr>
        <w:pStyle w:val="Heading2"/>
      </w:pPr>
      <w:r>
        <w:t>Erwägungen</w:t>
      </w:r>
    </w:p>
    <w:p>
      <w:r>
        <w:rPr>
          <w:b/>
        </w:rPr>
        <w:t>E. 1</w:t>
      </w:r>
    </w:p>
    <w:p>
      <w:r>
        <w:t>Wenn die Bundesanwaltschaft die Akten zur gerichtlichen Beurteilung von Zollvergehen einem Gericht übermittelt ( Art. 97 ZG ), trifft sie nicht eine verbindliche Verfügung über den Gerichtsstand. Streitigkeiten über die interkantonale Zuständigkeit sind in solchen Fällen von der Anklagekammer des Bundesgerichtes zu beurteilen, obwohl das weder im Zollgesetz noch in den Bestimmungen über das Verfahren bei Übertretung fiskalischer Bundesgesetze ( Art. 279 ff. BStP ) vorgesehen ist ( BGE 82 IV 123 Erw. 1, BGE 91 IV 220 Erw. 1).</w:t>
      </w:r>
    </w:p>
    <w:p>
      <w:r>
        <w:rPr>
          <w:b/>
        </w:rPr>
        <w:t>E. 2</w:t>
      </w:r>
    </w:p>
    <w:p>
      <w:r>
        <w:t>Der Gerichtsstand zur Verfolgung von Zollvergehen - darunter sind auch die Zollübertretungen im Sinne des Art. 74 ZG zu verstehen ( Art. 73 ZG ) - untersteht nicht dem Art. 283 BStP , sondern Art. 96 ZG und Art. 129 ZV ; denn Art. 279 BStP behält für das Verfahren bei Übertretung fiskalischer Bundesgesetze die besonderen Bestimmungen der einschlägigen Bundesgesetze und der darauf beruhenden Ausführungsverordnungen vor ( BGE 82 IV 125 , BGE 91 IV 110 Erw. 2, 220 Erw. 2). Die Art. 96 ZG und 129 ZV sehen für den Fall des Zusammentreffens von Zollvergehen mit Widerhandlungen gegen Strafgesetze nichtfiskalischer Natur keinen besonderen Gerichtsstand vor. Sie bestimmen nicht z.B. nach dem Vorbild des Art. 350 Ziff. 1 StGB , der Gerichtsstand zur Verfolgung der mit der BGE 97 IV 52 S. 55 schwersten Strafe bedrohten Tat sei auch Gerichtsstand zur Verfolgung der anderen. Das Fehlen einer solchen Bestimmung im Zollgesetz beruht nicht auf einem Versehen. Das Problem war beim Erlass des Zollgesetzes bekannt, enthielt doch schon der Entwurf zum StGB von 1918 in Art. 369 Ziff. 1 eine dem Art. 350 Ziff. 1 StGB entsprechende Bestimmung. In Art. 96 Abs. 5 ZG wurde dem Zusammentreffen von Zollvergehen und Handlungen, die durch die Strafgesetzgebung des Bundes oder der Kantone mit Strafe bedroht sind, ausdrücklich Rechnung getragen. Nach dieser Bestimmung ist auf die Zollvergehen stets "das Verfahren" des Zollgesetzes anzuwenden. Unter dem "Verfahren" sind auch die Regeln über die örtliche Zuständigkeit zu verstehen, denn der Hauptzweck des Art. 96 ZG besteht, wie sein Randtitel zeigt, gerade in der Ordnung der Zuständigkeit, unter anderem auch der örtlichen ( Art. 96 Abs. 2 ZG ). Der Zollgesetzgeber ging also davon aus, dass das Zusammentreffen von Zollvergehen mit strafbaren Handlungen anderer Art den Gerichtsstand zur Verfolgung und Beurteilung der ersteren nicht beeinflusse. Er verlangte nicht, dass Zollvergehen an ein und demselben Orte zu beurteilen seien wie die anderen strafbaren Handlungen oder sogar durch ein und dasselbe Gericht. Art. 350 StGB hat daran nichts geändert. Diese Bestimmung steht im Titel über die sachliche und örtliche Zuständigkeit der Behörden, "denen die Verfolgung und Beurteilung der in diesem Gesetze vorgesehenen, der kantonalen Gerichtsbarkeit unterstellten strafbaren Handlungen obliegt" ( Art. 345 Ziff. 1 Abs. 1 StGB ) (vgl. BGE 69 IV 34 ). Dass die Art. 346 ff. StGB auch für die Verfolgung von Zollvergehen oder von Widerhandlungen gegen andere fiskalische Bundesgesetze gelten, ist dem Strafgesetzbuch nicht zu entnehmen. Art. 96 ZG ist unter den Bestimmungen, die das Strafgesetzbuch aufgehoben oder abgeändert hat, nicht aufgezählt ( Art. 398, 399 StGB ). Auch hat das Strafgesetzbuch die im Bundesgesetz über die Bundesstrafrechtspflege getroffene deutliche Unterscheidung zwischen dem "Verfahren in Bundesstrafsachen, die von kantonalen Gerichten zu beurteilen sind" ( Art. 247 ff. BStP ) und dem "Verfahren bei Übertretung fiskalischer Bundesgesetze" ( Art. 279 ff. BStP ) nicht angetastet. Das Strafgesetzbuch verlangt nicht, dass alle strafbaren Handlungen, die einem Beschuldigten gleichzeitig vorgeworfen werden, durch den gleichen Richter zu BGE 97 IV 52 S. 56 beurteilen seien. Das ist namentlich nicht der Sinn von Art. 350 Ziff. 1 StGB ( BGE 95 IV 35 oben), aber auch nicht der Sinn des Art. 68 StGB ( BGE 84 IV 11 , BGE 91 IV 59 , BGE 95 IV 34 Erw. 2); diese Bestimmung gilt für Zollbussen nicht ( BGE 68 IV 109 , BGE 76 IV 296 , BGE 78 IV 198 , BGE 81 IV 188 ).</w:t>
      </w:r>
    </w:p>
    <w:p>
      <w:r>
        <w:rPr>
          <w:b/>
        </w:rPr>
        <w:t>E. 3</w:t>
      </w:r>
    </w:p>
    <w:p>
      <w:r>
        <w:t>Nach Art. 96 ZG und Art. 129 ZV sind die in der Schweiz verübten Zollvergehen von den Gerichten jenes Kantons zu beurteilen, wo sie begangen wurden. Art. 96 Abs. 2 Satz 1 ZG sagt, diese Gerichte seien "in der Regel" zuständig. Man kann sich fragen, ob diese Wendung nicht lediglich den Sinn hat, die in Art. 96 Abs. 2 Satz 1 behandelten Fälle mit einem einzigen Begehungsort seien die normalen, denen die in den nachfolgenden Sätzen geregelten Sonderfälle gegenüberständen. Dieser Auffassung war offenbar der Bundesrat, denn er liess in Art. 129 ZV die Worte "in der Regel" weg. Wenn diese Auslegung richtig sein sollte, wäre die Anklagekammer nicht berechtigt, vom Gerichtsstand des Begehungsortes abzuweichen, es wäre denn in sinngemässer Anwendung der auf das Fiskalstrafverfahren nicht zutreffenden Art. 262 und 263 BStP . Die Frage, ob die Anklagekammer vom Gerichtsstand der Begehung des Zollvergehens nach Ermessen abweichen darf, kann jedoch wie in BGE 91 IV 222 offen gelassen werden. Denn es besteht kein triftiger Grund, Widmer für die Zollübertretung und die Hinterziehung der Warenumsatzsteuer statt am Begehungsorte Basel im Kanton Zürich beurteilen zu lassen. Die Oberzolldirektion und die Bundesanwaltschaft beantragen für die Fiskalübertretungen nur die Ausfällung einer Busse im einfachen Betrage der umgangenen Warenumsatzsteuer. Dass erschwerende Umstände vorlägen, die gemäss Art. 75 Abs. 2 ZG eine Gefängnisstrafe rechtfertigen würden, behaupten sie nicht. Für die Zumessung der in Frage kommenden Strafe ist bedeutungslos, ob Widmer sich ausserdem des Einführens, Erwerbens und Lagerns falschen Geldes ( Art. 244 StGB ) und des Betruges ( Art. 148 StGB ) schuldig gemacht hat. Fiskalbussen dürfen nicht wegen Zusammentreffens mehrerer strafbarer Handlungen milder bemessen werden ( BGE 78 IV 198 Erw. 4 am Ende). Die Fiskalübertretungen lassen sich daher ohne Nachteil für den Beschuldigten getrennt von den Verbrechen und Vergehen beurteilen. Übrigens ergibt sich aus den Erwägungen des Bezirksgerichtes Zürich vom 14. April 1970, dass die derzeit von der Bezirksanwaltschaft Zürich behandelte Strafsache BGE 97 IV 52 S. 57 nicht zu einer Überweisung an das Bezirksgericht führen kann, sondern in die Zuständigkeit des Geschworenengerichts oder des Obergerichts fällt und dass sehr zweifelhaft ist, ob das kantonale Recht die Mitbeurteilung der Fiskalübertretungen durch diese Gerichte zuliesse. Das Bundesrecht verlangt sie jedenfalls nicht. Die "prozessökonomischen Gründe", die der Bundesanwaltschaft am 26. Februar 1970 vorschwebten, bestehen also voraussichtlich nicht. Es rechtfertigt sich nicht, bei der Bestimmung des Gerichtsstandes auf sie Rücksicht zu nehmen. Die Bundesanwaltschaft war sich übrigens des bloss "vorläufigen Charakters" ihrer "Überweisung" bewusst.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