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242</w:t>
      </w:r>
    </w:p>
    <w:p>
      <w:r>
        <w:t>Bundesgericht (BGE), 1971-01-01, DE</w:t>
      </w:r>
    </w:p>
    <w:p>
      <w:r>
        <w:rPr>
          <w:b/>
        </w:rPr>
        <w:t xml:space="preserve">Quelle: </w:t>
      </w:r>
      <w:r>
        <w:t>https://mcp.opencaselaw.ch/entscheid/bge_BGE_97_IV_242</w:t>
      </w:r>
    </w:p>
    <w:p>
      <w:r>
        <w:t>FR: ATF 97 IV 242</w:t>
      </w:r>
    </w:p>
    <w:p>
      <w:r>
        <w:t>IT: DTF 97 IV 242</w:t>
      </w:r>
    </w:p>
    <w:p>
      <w:pPr>
        <w:pStyle w:val="Heading2"/>
      </w:pPr>
      <w:r>
        <w:t>Regeste</w:t>
      </w:r>
    </w:p>
    <w:p>
      <w:r>
        <w:t>Regeste Art. 26 und 33 Abs. 3 SVG. 1. Allgemeine Vorsichtspflicht von Fahrzeugführern gegenüber Fussgängern; Vertrauensgrundsatz (Erw. 1). 2. Beim Kreuzen mit einem in der Gegenrichtung haltenden Omnibus trifft den Fahrzeugführer eine erhöhte Sorgfaltspflicht; dieser muss sich nach den Umständen auf die Fahrbahn betretende Fussgänger einstellen und seine Geschwindigkeit entsprechend herabsetzen (Erw. 2).</w:t>
      </w:r>
    </w:p>
    <w:p>
      <w:r>
        <w:t>Regeste Art. 26 et 33 al. 3 LCR. 1. Devoir général de prudence des automobilistes à l'égard des piétons; principe de la confiance (consid. 1). 2. L'automobiliste qui croise un omnibus arrêté de l'autre côté de la route doit redoubler d'attention; selon les circonstances, il doit compter avec le risque de piétons qui viendraient à s'engager sur la chaussée et réduire sa vitesse en conséquence (consid. 2).</w:t>
      </w:r>
    </w:p>
    <w:p>
      <w:r>
        <w:t>Regesto Art. 26 e 33 cpv. 3 LCStr. 1. Dovere generale di prudenza degli automobilisti nei confronti dei pedoni; principio della fiducia (consid. 1). 2. L'automobilista che incrocia un autobus fermo all'altro lato della strada deve aumentare la sua prudenza; secondo le circostanze, egli deve tener conto del rischio di pedoni che si immetterebbero nella carreggiata e ridurre conseguentemente la velocità (consid. 2).</w:t>
      </w:r>
    </w:p>
    <w:p>
      <w:pPr>
        <w:pStyle w:val="Heading2"/>
      </w:pPr>
      <w:r>
        <w:t>Erwägungen</w:t>
      </w:r>
    </w:p>
    <w:p>
      <w:r>
        <w:rPr>
          <w:b/>
        </w:rPr>
        <w:t>E. 1</w:t>
      </w:r>
    </w:p>
    <w:p>
      <w:r>
        <w:t>Im angefochtenen Entscheid wird ausgeführt, dass der Fahrzeugführer der allgemein zu beobachtenden Unbesonnenheit von Personen, die aus einem öffentlichen Verkehrsmittel aussteigen, durch seine Fahrweise, vor allem durch entsprechende Herabsetzung seiner Geschwindigkeit, Rechnung zu tragen habe. Er sei regelmässig verpflichtet, seine Fahrweise darauf einzustellen, dass hinter einem haltenden öffentlichen Verkehrsmittel hervor Fussgänger unachtsam die Fahrbahn zu überqueren suchten. Diese Begründung beruht auf der Erwägung, dass die beschriebene Sorgfaltspflicht des Fahrzeugführers nicht nur beim Vorliegen konkreter Anhaltspunkte für das Fehlverhalten anderer Strassenbenützer, sondern ganz allgemein zu fordern sei. Bei der Entscheidung der Frage, welche Sorgfalt der Fahrzeugführer bei der Vorbeifahrt an einem an der gegenüberliegenden Fahrbahnseite in Gegenrichtung haltenden oder eben anfahrenden Omnibus zu beobachten hat, ist davon auszugehen, dass der Verkehr sich nur noch dann abwickeln lässt, wenn ihm ein gewisses Mass an Zügigkeit gestattet ist. Diese BGE 97 IV 242 S. 244 wäre aber in Frage gestellt, wenn sich der Fahrzeugführer regelmässig auf jede denkbare Gefahr, die das verkehrswidrige Verhalten anderer Strassenbenützer hervorruft, so einzustellen hätte, dass er sie bannen kann. Nach der Grundregel von Art. 26 SVG kann ein Verkehrsteilnehmer, der sich verkehrsgemäss verhält, sofern nicht besondere Umstände dagegen sprechen, damit rechnen, dass ein anderer Verkehrsteilnehmer den Verkehr nicht durch pflichtwidriges Verhalten gefährdet. Grundsätzlich gilt dieses Vertrauensprinzip auch für die Vorsicht, die Fahrzeugführer gegenüber Fussgängern anzuwenden haben. Im allgemeinen und ohne besonderen Anlass braucht ein Fahrzeugführer also, wenn es sich nicht um erkennbar verkehrsungewandte Personen, insbesondere um Kinder oder alte Menschen handelt, mit sinnlosem oder unerwartet verkehrswidrigem Benehmen nicht zu rechnen. Nur dann, wenn konkrete Anzeichen dafür bestehen, dass sich ein anderer auf der Strasse nicht richtig verhalten wird ( Art. 26 Abs. 2 SVG ), ist der Führer verpflichtet, sich darauf einzurichten. Solche Anzeichen können sich aus einem sichtbaren Verhalten eines andern Strassenbenützers, aber auch aus der Unklarheit oder Ungewissheit einer bestimmten Verkehrslage ergeben, die nach allgemeiner Erfahrung die Möglichkeit fremden Fehlverhaltens unmittelbar in die Nähe rückt (VON WERRA, Du principe de la confiance dans le droit de la circulation routière, Zeitschrift für Walliser Rechtsprechung, 1970, S. 204).</w:t>
      </w:r>
    </w:p>
    <w:p>
      <w:r>
        <w:rPr>
          <w:b/>
        </w:rPr>
        <w:t>E. 2</w:t>
      </w:r>
    </w:p>
    <w:p>
      <w:r>
        <w:t>Gemäss Art. 33 Abs. 3 SVG hat der Fahrzeugführer auf Personen Rücksicht zu nehmen, die an den Haltestellen öffentlicher Verkehrsmittel ein- und aussteigen. Diese besondere Sorgfaltspflicht erklärt sich nicht schon aus der abstrakten Möglichkeit, dass hinter einem haltenden oder eben anfahrenden öffentlichen Verkehrsmittel, insbesondere einem Linienomnibus, Fussgänger auf die Fahrbahn treten, sondern vielmehr aus der Wahrscheinlichkeit des Vorhandenseins solcher Personen. Damit ist freilich noch nicht gesagt, es sei zu befürchten, dass diese Fussgänger sich verkehrswidrig verhalten würden. Indessen pflegen Fussgänger, insbesondere ausgestiegene Fahrgäste des Omnibusses, sowohl vor als auch hinter diesem häufig eilig auf die Fahrbahn zu treten (BADERTSCHER/SCHLEGEL, SVG S. 92), um nach beiden Richtungen freie Sicht zu gewinnen. Da nach der Lebenserfahrung dieses Hinaustreten oft nicht mit der gebotenen Vorsicht erfolgt, indem Fussgänger BGE 97 IV 242 S. 245 einige Schritte weiter nach vorne treten, als es zur Erreichung eines freien Überblickes auf die Fahrbahn erforderlich wäre, muss der Fahrzeugführer, der an einem in der Gegenrichtung haltenden Omnibus vorbeifährt, sich darauf einstellen und seine Geschwindigkeit so herabsetzen, dass er notfalls noch rechtzeitig anhalten kann. Anders ist es nur, wenn die Breite der Strasse es ihm erlaubt, in derart weitem Abstand den haltenden Bus zu kreuzen, dass mit einer unmittelbaren Gefahr nicht zu rechnen ist.</w:t>
      </w:r>
    </w:p>
    <w:p>
      <w:r>
        <w:rPr>
          <w:b/>
        </w:rPr>
        <w:t>E. 3</w:t>
      </w:r>
    </w:p>
    <w:p>
      <w:r>
        <w:t>An Hand dieser Grundsätze ist im vorliegenden Fall zu prüfen, ob die vom Obergericht festgestellte Verkehrslage den Angeklagten zu besonders vorsichtiger Annäherung an den haltenden Postautobus nötigte. Welchen Abstand Gisi vom eben anrollenden Omnibus einhielt, ist nicht ausdrücklich festgestellt. Aus den von der Kantonspolizei aufgenommenen Photographien sowie aus dem Unfallplan geht jedoch hervor, dass der Beschwerdeführer wegen der geringen Breite der Fahrbahn derart nahe am Postautobus vorbeifahren musste, dass er einen Zusammenstoss mit einem Fussgänger, der hinter dem öffentlichen Verkehrsmittel soweit hervortrat, dass er ausreichende Sicht hatte, nicht hätte vermeiden können. Nach dem in Erwägung 2 Ausgeführten hatte sich Gisi deshalb darauf einzustellen, dass Fussgänger unvorsichtig etwas zu weit hinter dem Postautobus hervor auf die Fahrbahn heraustreten könnten. Es bestand die Gefahr eines Zusammenstosses mit solchen Fussgängern infolge des ungenügenden seitlichen Abstandes zum öffentlichen Verkehrsmittel. Unter diesen Umständen aber war die vom Obergericht verbindlich festgestellte Geschwindigkeit Gisis von 50 km/h übersetzt. Dieser hat daher die in Art. 33 Abs. 3 SVG vorgesehene besondere Vorsichtspflicht verletzt.</w:t>
      </w:r>
    </w:p>
    <w:p>
      <w:r>
        <w:rPr>
          <w:b/>
        </w:rPr>
        <w:t>E. 4</w:t>
      </w:r>
    </w:p>
    <w:p>
      <w:r>
        <w:t>Das Obergericht stellt verbindlich fest ( BGE 95 IV 142 Erw. 2 a), dass die natürliche Ursache der Körperverletzung des Kindes die zu hohe Geschwindigkeit Gisis war. Zwischen dessen pflichtwidrigem Verhalten und dem eingetretenen Unfall besteht auch ein rechtserheblicher Kausalzusammenhang. Hätte Gisi seine Geschwindigkeit auf Anhaltemöglichkeit herabgesetzt, wäre der Knabe Alain Mack nicht angefahren und verletzt worden. Die Rechtserheblichkeit des Kausalzusammenhanges würde nur fehlen, wenn das Verhalten des Knaben völlig ausserhalb des normalen Geschehens gelegen BGE 97 IV 242 S. 246 hätte. Davon kann keine Rede sein. Mit der Möglichkeit, dass aus dem nicht einsehbaren Raum hinter dem Postautobus Kinder oder verkehrsungewandte Personen unachtsam auf die Strasse treten könnten, war angesichts des ungenügenden seitlichen Abstandes vom Omnibus zu rechnen. Gisi ist daher zu Recht der fahrlässigen schweren Körperverletzung schuldig befunden worden.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