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218</w:t>
      </w:r>
    </w:p>
    <w:p>
      <w:r>
        <w:t>Bundesgericht (BGE), 1971-01-01, DE</w:t>
      </w:r>
    </w:p>
    <w:p>
      <w:r>
        <w:rPr>
          <w:b/>
        </w:rPr>
        <w:t xml:space="preserve">Quelle: </w:t>
      </w:r>
      <w:r>
        <w:t>https://mcp.opencaselaw.ch/entscheid/bge_BGE_97_IV_218</w:t>
      </w:r>
    </w:p>
    <w:p>
      <w:r>
        <w:t>FR: ATF 97 IV 218</w:t>
      </w:r>
    </w:p>
    <w:p>
      <w:r>
        <w:t>IT: DTF 97 IV 218</w:t>
      </w:r>
    </w:p>
    <w:p>
      <w:pPr>
        <w:pStyle w:val="Heading2"/>
      </w:pPr>
      <w:r>
        <w:t>Regeste</w:t>
      </w:r>
    </w:p>
    <w:p>
      <w:r>
        <w:t>Regeste Vorsichtspflichten des Linksabbiegers (Art. 34 Abs. 3 SVG) und des in zweiter Position Überholenden (Art. 32 Abs. 1, 35 Abs. 5 und 6 SVG).</w:t>
      </w:r>
    </w:p>
    <w:p>
      <w:r>
        <w:t>Regeste Devoir de prudence de celui qui oblique à gauche (art. 34 al. 3 LCR) et de celui qui dépasse en deuxième position (art. 32 al. 1, 35 al. 5 et 6 LCR).</w:t>
      </w:r>
    </w:p>
    <w:p>
      <w:r>
        <w:t>Regesto Dovere di prudenza di chi volta a sinistra (art. 34 cpv. 3 LCStr.) e di chi sorpassa in seconda posizione (art. 32 cpv. 1, 35 cpv. 5 e 6 LCStr.).</w:t>
      </w:r>
    </w:p>
    <w:p>
      <w:pPr>
        <w:pStyle w:val="Heading2"/>
      </w:pPr>
      <w:r>
        <w:t>Erwägungen</w:t>
      </w:r>
    </w:p>
    <w:p>
      <w:r>
        <w:rPr>
          <w:b/>
        </w:rPr>
        <w:t>E. 3</w:t>
      </w:r>
    </w:p>
    <w:p>
      <w:r>
        <w:t>Der Beschwerdeführer macht geltend, die Schuld am Zusammenstoss treffe ausschliesslich den Mitbeteiligten Vasquez. Dieser habe ungenügend nach hinten gesichert, bevor er auf der geraden Hauptstrasse sein Abbiegemanöver nach links in eine Nebenstrasse einleitete. Er hätte den Unfall noch im letzten Moment verhindern können, wenn er auf das Hupsignal des Beschwerdeführers durch einen Sicherheitshalt reagiert hätte. Mit Recht verweist der Beschwerdeführer auf den Umstand, dass im heutigen Strassenverkehr die Linksabbieger eine wesentliche Gefahrenquelle darstellen und dass besonders derjenige, der im flüssigen Überlandverkehr auf einer Hauptstrasse verlangsamen und nach links in eine Nebenstrasse einbiegen will, zu allergrösster Vorsicht verpflichtet ist. Er wird auf die entgegenkommenden aber nicht minder auf die von hinten nahenden schnelleren Fahrzeuge achten und stets mit der Gefahr rechnen müssen, dass seine Zeichengebung übersehen oder missachtet werden könnte ( BGE 91 IV 11 , 20, 205; BGE 93 II 495 ). In dieser Hinsicht liegt auf Seiten der kantonalen Instanzen keine Rechtsverletzung vor. Vasquez wurde gebüsst, obwohl er so früh den Blinker betätigte und nach links einspurte, dass der ihm nachfolgende Personenwagen, der noch nicht zum Überholen angesetzt hatte, rechtzeitig reagieren und daher ungefährdet rechts am eingespurten Kastenwagen vorbeifahren konnte. Wenn Vasquez trotzdem bestraft wurde, so nur deshalb, weil er nicht noch zusätzlich im letzten Augenblick sich nach hinten vergewisserte und dem sehr rasch heranfahrenden Beschwerdeführer die an sich nicht mehr erlaubte Vorfahrt auf der linken BGE 97 IV 218 S. 221 Seite ( BGE 97 IV 36 ) ermöglichte. Damit ist dem in der Nichtigkeitsbeschwerde hervorgehobenen Erfordernis des modernen Strassenverkehrs zutreffend und ausreichend Rechnung getragen worden. Der Umstand, dass Vasquez sich insoweit nicht vorschriftsgemäss verhielt, vermöchte den Beschwerdeführer nur dann zu entlasten, wenn das Verhalten des Abschwenkenden so ausserhalb der normalen Lebenserfahrung gewesen wäre, dass Leu vernünftigerweise nicht damit rechnen musste, und wenn das Fehlverhalten des Beschwerdeführers nur durch diese unvorhersehbare Situation ausgelöst worden wäre ( BGE 86 IV 155 ff. E. 1). Von beidem kann keine Rede sein. Dass ein Fahrzeug an einer Strassenkreuzung ohne Linksabbiege-Verbot von einer Hauptstrasse nach links in eine Nebenstrasse gesteuert wird, nachdem der Führer rechtzeitig den Blinker betätigte und nach links einspurte, ist alltäglich. Es liegt auch keineswegs ausserhalb normaler Erfahrung, dass sich ein solcher Abbieger, wenn er sein Manöver rechtzeitig vor dem ihm folgenden Fahrzeug durchführt, nicht noch weiter nach hinten sichert, auch wenn er dies an sich tun müsste. Besonders fällt aber ins Gewicht, dass der Beschwerdeführer nicht erst durch das verkehrswidrige Verhalten des Dritten zu einem Fehlverhalten veranlasst wurde, sondern dass ihm unabhängig davon mehrfache Verletzungen von Verkehrsregeln vorzuwerfen sind. Eine Schuldkompensation ist jedoch im Strafrecht ausgeschlossen ( BGE 85 IV 91 ).</w:t>
      </w:r>
    </w:p>
    <w:p>
      <w:r>
        <w:rPr>
          <w:b/>
        </w:rPr>
        <w:t>E. 4</w:t>
      </w:r>
    </w:p>
    <w:p>
      <w:r>
        <w:t>An sich wäre nach der Feststellung der kantonalen Instanzen auf jener Strasse eine Geschwindigkeit von 150 km/h nicht übersetzt. Dem Beschwerdeführer ist zuzustimmen, wenn er darauf verweist, dass eine Fahrzeugkolonne in einem Zug überholt werden darf, sofern der Überholende weder entgegenkommende noch überholte Fahrzeuge behindert und er insbesondere die Gewissheit hat, nach Überholen der Kolonne oder in eine bestehende grössere Lücke ohne Behinderung des übrigen Verkehrs einbiegen zu können ( BGE 95 IV 178 ). Liegt eine solche eindeutige Situation vor, so ist der Überholende auch nicht verpflichtet, seine Geschwindigkeit bis nahezu auf diejenige der überholten Fahrzeuge herabzusetzen, Diese Rechtslage entbindet den überholenden Fahrer nicht von der ihm obliegenden Sorgfaltspflicht, im Gegenteil. Er hat während des ganzen Überholmanövers darauf zu achten, ob nicht Anzeichen für ein verkehrswidriges Verhalten eines andern BGE 97 IV 218 S. 222 Fahrzeuges bestehen (Ausbrechen aus der Kolonne usw.). Tritt ein Hindernis in Erscheinung, z.B. dadurch, dass weiter vorne ein Wagen seinerseits überholt, so darf er zwar sein Manöver fortsetzen, muss aber die Geschwindigkeit und den Abstand auf den Vorausfahrenden der Situation anpassen. Verdeckt das vorausfahrende Fahrzeug die Sicht nach vorne, so hat der Überholende seine Fahrweise und Geschwindigkeit wiederum so einzurichten, dass er allen Gegebenheiten gewachsen ist. Der Beschwerdeführer hat es offensichtlich an der nötigen Sorgfalt fehlen lassen. Er hat den mit etwas über 100 km/h fahrenden von Arx gesehen, als dieser Mladen überholte. Leu nahm an, von Arx werde auch den vorher vor ihm auf der rechten Strassenseite fahrenden Kastenwagen Vasquez überholen und nachher einbiegen, worauf er, Leu, auch von Arx überholen könne. Solange aber von Arx die Überholspur benutzte und den Kastenwagen verdeckte, bestand für Leu keine Gewissheit, wie sich der weitere Überholvorgang abwickeln werde. Insbesondere konnte er nicht beobachten, ob der Kastenwagen unverändert rechts und mit gleicher Geschwindigkeit weiterfahren werde. Beschleunigte er, so konnte sich der Überholvorgang für von Arx stark verlängern. Der Beschwerdeführer hätte schon deshalb seine Geschwindigkeit herabsetzen und so viel Abstand auf von Arx halten müssen, dass er diesem gefahrlos hätte folgen und auch bei einem Bremsmanöver des von Arx seinerseits rechtzeitig abbremsen können. Leu behauptet denn auch in der Beschwerde, er habe einen genügenden Abstand gehalten. Er hat aber früher selbst das Gegenteil zugegeben. Als von Arx den links eingespurten Kastenwagen rechts überholte, "versperrte er" Leu den Weg, d.h. Leu kam mit so grosser Geschwindigkeit und bereits so kleinem Abstand auf von Arx zugefahren, dass er nicht mehr rechtzeitig abbremsen konnte, um ihm gefahrlos rechts am Kastenwagen vorbei folgen zu können. Aus dem gleichen Grund konnte er auch nicht hinter dem Kastenwagen abbremsen (der zum Abschwenken verlangsamt hatte), um dann zwischen dem abschwenkenden Wagen und von Arx durchzufahren. Es blieb ihm tatsächlich nur noch der Versuch übrig, links am Kastenwagen vorbeizukommen. Es hilft dem Beschwerdeführer nichts, dass, wie er sagt, "bei der Einleitung und beim Beginn seines Überholmanövers ... von der Absicht des Vasquez, nach links abzubiegen noch nichts zu BGE 97 IV 218 S. 223 erkennen ... war". Fehlerhaft war sein Verhalten nicht bei Einleitung des Überholmanövers, sondern in dem Augenblick, wo von Arx vor ihm auf der Überholspur fuhr, ihm damit den Weg für die ungehinderte Weiterfahrt mit gleicher Geschwindigkeit verlegte und ausserdem die Sicht auf den vordersten Wagen verdeckte. In diesem Augenblick hätte der Beschwerdeführer seine Geschwindigkeit herabsetzen und einen genügenden Abstand auf von Arx halten müssen. Er fuhr mit übersetzter Geschwindigkeit und vermochte in der plötzlich aufgetauchten Notsituation sein Fahrzeug nicht mehr richtig zu beherrschen. Hätte er sich richtig verhalten, so wäre ihm kein Verstoss gegen das SVG vorzuwerfen und es wäre ausserdem trotz dem von Vasquez begangenen Fehler mit grösster Wahrscheinlichkeit nicht zu einer Kollision gekommen.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