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210</w:t>
      </w:r>
    </w:p>
    <w:p>
      <w:r>
        <w:t>Bundesgericht (BGE), 1948-12-21, DE</w:t>
      </w:r>
    </w:p>
    <w:p>
      <w:r>
        <w:rPr>
          <w:b/>
        </w:rPr>
        <w:t xml:space="preserve">Quelle: </w:t>
      </w:r>
      <w:r>
        <w:t>https://mcp.opencaselaw.ch/entscheid/bge_BGE_97_IV_210</w:t>
      </w:r>
    </w:p>
    <w:p>
      <w:r>
        <w:t>FR: ATF 97 IV 210</w:t>
      </w:r>
    </w:p>
    <w:p>
      <w:r>
        <w:t>IT: DTF 97 IV 210</w:t>
      </w:r>
    </w:p>
    <w:p>
      <w:pPr>
        <w:pStyle w:val="Heading2"/>
      </w:pPr>
      <w:r>
        <w:t>Regeste</w:t>
      </w:r>
    </w:p>
    <w:p>
      <w:r>
        <w:t>Regeste Art. 110 Ziff. 5 und 253 StGB, Art. 52 ff. BG über die Luftfahrt vom 21. Dezember 1948. Erschleichung einer falschen Eintragung in das schweizerische Luftfahrzeugregister.</w:t>
      </w:r>
    </w:p>
    <w:p>
      <w:r>
        <w:t>Regeste Art. 110 ch. 5 et 253 CP, art. 52 ss. LF du 21 décembre 1948 sur la navigation aérienne. Obtention frauduleuse d'une inscription fausse dans le registre matricule suisse des aéronefs.</w:t>
      </w:r>
    </w:p>
    <w:p>
      <w:r>
        <w:t>Regesto Art. 110 num. 5 e 253 CP, art. 52 e segg. LF del 21 dicembre 1948 sulla navigazione aerea. Ottenimento fraudolento di una falsa iscrizione nel registro svizzero degli aeromobili.</w:t>
      </w:r>
    </w:p>
    <w:p>
      <w:pPr>
        <w:pStyle w:val="Heading2"/>
      </w:pPr>
      <w:r>
        <w:t>Erwägungen</w:t>
      </w:r>
    </w:p>
    <w:p>
      <w:r>
        <w:rPr>
          <w:b/>
        </w:rPr>
        <w:t>E. 1</w:t>
      </w:r>
    </w:p>
    <w:p>
      <w:r>
        <w:t>(Prozessuales).</w:t>
      </w:r>
    </w:p>
    <w:p>
      <w:r>
        <w:rPr>
          <w:b/>
        </w:rPr>
        <w:t>E. 2</w:t>
      </w:r>
    </w:p>
    <w:p>
      <w:r>
        <w:t>Der Erschleichung einer falschen Beurkundung nach Art. 253 StGB macht sich schuldig, wer durch Täuschung bewirkt, dass ein Beamter oder eine Person öffentlichen Glaubens eine rechtserhebliche Tatsache unrichtig beurkundet, namentlich eine falsche Unterschrift oder eine unrichtige Abschrift beglaubigt. Die Beschwerdeführer bestreiten nicht, dass der Registerführer Beamter ist. Dagegen machen sie geltend, die Vorinstanz habe deshalb Bundesrecht verletzt, weil der Eintrag im Luftfahrzeugregister Urkundencharakter nur hinsichtlich der Personalien desjenigen besitze, der sich in der Anmeldung als Eigentümer ausgegeben habe, nicht aber inbezug auf das materielle Eigentumsrecht selbst. Dem Eintrag komme für das Eigentum weder Beweiseignung noch Beweisbestimmung zu. Wer eine unrichtige Person als Eigentümer bezeichne und damit einen materiell unrichtigen Eintrag erwirke, erschleiche keine Falschbeurkundung. Im übrigen seien die Eintragungen gar nicht unrichtig gewesen, denn die als Eigentümer eingetragenen Personen hätten jedenfalls fiduziarisches Eigentum behalten bzw. erworben.</w:t>
      </w:r>
    </w:p>
    <w:p>
      <w:r>
        <w:rPr>
          <w:b/>
        </w:rPr>
        <w:t>E. 3</w:t>
      </w:r>
    </w:p>
    <w:p>
      <w:r>
        <w:t>a) Indem Art. 253 StGB im Randtitel von der Erschleichung einer falschen Beurkundung und im Wortlaut davon spricht, dass ein Beamter eine Tatsache unrichtig beurkundet bzw. dass der Täter eine erschlichene Urkunde gebraucht, nimmt die Bestimmung Bezug auf den in Art. 110 Ziff. 5 StGB umschriebenen Urkundenbegriff. Die Annahme des objektiven Tatbestands gemäss Art. 253 StGB setzt daher voraus, dass die fragliche Schrift bestimmt oder geeignet ist, eine Tatsache von rechtlicher Bedeutung zu beweisen. Nicht erforderlich ist, dass der Urkunde erhöhte Beweiskraft zukommt ( BGE 81 IV 243 ). Es genügt, dass sie sich im Zusammenwirken mit andern Mitteln BGE 97 IV 210 S. 214 dazu eignet, eine Tatsache zu beweisen (HAEFLIGER, Probleme der Falschbeurkundung, ZStR 1959, S. 404). So kommt z.B. dem Kontrollstreifen einer Registrierkasse Urkundencharakter zu, weil wegen der Buchführungspflicht des Geschäftsinhabers vermutet wird, der Kassastreifen gebe wahrheitsgemäss und lückenlos Aufschluss, und zwar unabhängig davon, ob er allein oder zusammen mit andern Unterlagen zum Beweis taugt ( BGE 91 IV 7 ). Anderseits genügt nicht jede in einem öffentlichen Register veranlasste Falscheintragung zur Annahme einer Urkundenerschleichung. Kommt der Eintragung keine Beweiseignung oder - bestimmung zu, so handelt es sich bloss um eine schriftliche Lüge, die zur Anwendung von Art. 253 StGB nicht ausreicht. b) Das Obergericht nimmt zur Frage der Beweiseignung und Beweisbestimmung des Luftfahrzeugregisters ausführlich Stellung. Es verkennt nicht, dass die Bedeutung des Registers - im Gegensatz zum Luftfahrzeugbuch - nicht darin besteht, Beweis über Eigentum oder andere dingliche Rechte an Luftfahrzeugen in Verhältnis einzelner Ansprecher zu schaffen. Vielmehr bewirkt der Eintrag, dass das im Register eingetragene Luftfahrzeug als schweizerisch gilt (Art. 55 Bundesgesetz über die Luftfahrt vom 21. Dezember 1948, LFG), mit der Folge, dass mit Bezug auf dieses Luftfahrzeug auch ausserhalb schweizerischen Hoheitsgebietes schweizerische Rechtsregeln Anwendung finden können ( Art. 97 ff. LFG ) und dass es auch im internationalen Verkehr als schweizerischer Nationalität anerkannt wird (Art. 17 ff. Abkommen über die internationale Zivilluftfahrt, abgeschlossen in Chicago am 7. Dezember 1944). Mit Bezug auf das öffentliche Recht kommt damit dem Eintrag des Eigentums im Luftfahrzeugregister Beweisfunktion zu, denn die Eigentumsverhältnisse sind für den Eintrag gemäss Art. 52 ff. LFG ausschlaggebend. So ist Voraussetzung des Eintrags u.a., dass ein Luftfahrzeug im Eigentum einer schweizerischen natürlichen oder juristischen Person steht ( Art. 52 und 53 LFG ) oder dass es Eigentum eines Ausländers ist, der sich seit längerer Zeit in der Schweiz aufhält, und ausserdem in der Regel von der Schweiz aus benützt werden soll ( Art. 54 lit. a LFG ; s. die in Art. 54 lit. b LFG genannten Ausnahmen). Art. 5 Abs. 1 der Vollziehungsverordnung vom 5. Juni 1950 zum LFG verpflichtet den Eigentümer, sein Luftfahrzeug zur Eintragung ins Luftfahrzeugregister anzumelden. Dabei ist durch Belege der Erwerb des BGE 97 IV 210 S. 215 Eigentums glaubhaft zu machen. Ist das Luftfahrzeug einmal im Register eingetragen, so liegt darin für jedermann der Beweis, dass der Registerführer die Voraussetzungen des Eintrags geprüft und deren Vorliegen festgestellt hat. Das schliesst in sich, dass der Registerführer das behauptete Eigentumsrecht des Anmeldenden geprüft hat. Wenn hierüber auch nicht ein voller Beweis verlangt wird, so setzt der Registereintrag jedenfalls voraus, dass die Behauptung des Anmeldenden glaubhaft gemacht wurde, d.h. zumindest als wahrscheinlich richtig erscheint. c) Wenn die Beschwerdeführer hiegegen einwenden, das Register erschöpfe sich in einer bloss formellen Eintragung, ohne etwas über deren Wahrheitsgehalt auszusagen, so irren sie. Das Register gibt nicht nur Auskunft darüber, welche Angaben bei der Anmeldung über den Eigentümer gemacht wurden, sondern es erbringt der Eintrag auch Beweis dafür, dass der Registerführer sich vergewissert hat, das die Angaben über das Eigentum glaubhaft waren. Der vorliegende Fall zeigt, dass an diese Glaubhaftmachung strenge Massstäbe angelegt werden. Denn die blosse Anmeldung genügte nicht, und auch gewisse Urkunden, für deren Richtigkeit an sich ein hoher Grad der Wahrscheinlichkeit sprach, reichten mit den Angaben der Gesuchsteller zusammen nicht aus, um den Registerführer zur Eintragung zu veranlassen.</w:t>
      </w:r>
    </w:p>
    <w:p>
      <w:r>
        <w:rPr>
          <w:b/>
        </w:rPr>
        <w:t>E. 4</w:t>
      </w:r>
    </w:p>
    <w:p>
      <w:r>
        <w:t>a) Was das Vorbringen anbelangt, Ott bzw. Funk seien fiduziarische Eigentümer gewesen, so kann offen bleiben, ob aus prozessualen Gründen überhaupt auf dieses Vorbringen einzutreten sei, da es sich jedenfalls materiell als unbegründet erweist. Dem schweizerischen Recht ist das Institut der Treuhandschaft und des fiduziarischen Eigentums nicht fremd. Wo der Fiduziant das Eigentum treuhänderisch einem Fiduziar überträgt oder es dem letzteren, z.B. bei einem Kaufgeschäft, belässt, wird bzw. bleibt der Fiduziar im Aussenverhältnis Eigentümer; er hat jedoch sein Eigentum nach den Weisungen und im Interesse des Fiduzianten auszuüben. Der Treuhandvertrag ist von beiden Seiten gewollt und rechtlich verbindlich. Anders verhält es sich beim simulierten Vertrag, auf Grund dessen der angebliche Eigentümer in Tat und Wahrheit kein Eigentum erwirbt, sondern sich bloss zum Schein als Eigentümer ausgibt. Der Inhalt des simulierten Vertrags ist nicht BGE 97 IV 210 S. 216 gewollt. Der Vertrag soll bloss dazu dienen, gegenüber Dritten den Schein eines Rechtsgeschäftes zu erwecken; er ist nichtig ( BGE 71 II 99 ). Indem die Beschwerdeführer von Strohmännern sprechen, verwischen sie den Unterschied zwischen Treuhandvertrag und simuliertem Geschäft. Der Strohmann kann fiduziarischer Eigentümer sein, muss dies aber nicht. Tritt er nicht auf Grund einer vertraglich vereinbarten ernstgemeinten Eigentumsübertragung oder - belassung auf, sondern auf Grund nur simulierter Abmachungen, so kommt ihm jedenfalls keine Eigentümerstellung zu. Gibt er sich dennoch als Eigentümer aus und bewirkt er auf diese Weise einen Eintrag im Luftfahrzeugregister, so beruht diese Eintragung auf Täuschung. b) In den beiden kantonalen Verfahren haben Ott und Dinkheller behauptet, das Eigentum sei deshalb bei Ott geblieben, weil dieser das Flugzeug unter Eigentumsvorbehalt veräussert habe. Diese Darstellung verwirft das Obergericht. Ott und Dinkheller legten darüber hinaus nicht dar, dass eine übereinstimmende Willensäusserung vorlag, die erlauben würde, auf einen Treuhandvertrag zu schliessen. Das letztere gilt sinngemäss auch für das Verhältnis zwischen Funk und Mihaljevic. Die Vorinstanz stellt hier verbindlich fest, dass der Vertrag zwischen Funk und Mihaljevic nur zum Schein abgeschlossen worden sei und der Täuschung diente. Weder Ott noch Funk sollten also im eigenen Namen, jedoch im fremden Interesse das Eigentum am Flugzeug ausüben; sie sollten einzig als fiktive Eigentümer auftreten, um die Eintragung im schweizerischen Luftfahrzeugregister zu ermöglichen. Mit Treuhandgeschäften haben diese Machenschaften nichts zu tun. c) Damit kann offen bleiben, ob es zulässig wäre, an Stelle des wirklichen Eigentümers einen Fiduziar im schweizerischen Luftfahrzeugregister als Eigentümer einzutragen.</w:t>
      </w:r>
    </w:p>
    <w:p>
      <w:r>
        <w:rPr>
          <w:b/>
        </w:rPr>
        <w:t>E. 5</w:t>
      </w:r>
    </w:p>
    <w:p>
      <w:r>
        <w:t>Funk und Mihaljevic wurden schliesslich auch in Anwendung von Art. 251 Ziff. 1 Abs. 1 und 2 StGB wegen Urkundenfälschung bestraft, weil sie einen auf den 20. August 1966 zurückdatierten simulierten Vertrag erstellt und verwendet hatten. Sie sprechen diesem Kaufvertrag jede Urkundenqualität ab; ein so kurz gefasster Vertrag sei dem kostbaren Kaufgegenstand nicht angepasst und eigne sich deshalb offensichtlich nicht zum Nachweis eines wirklichen Kaufgeschäftes. Die Eigentumsübertragung werde dadurch nicht erwiesen. Der BGE 97 IV 210 S. 217 Registerführer habe aus der Vorlage von Kaufvertrag und Quittung schliessen müssen, es handle sich um ein Treuhandgeschäft. Zudem sei der Vertrag gar nicht als Beweismittel bestimmt gewesen, sondern habe nur der Erledigung einer Formalität gedient. Diese Einwendungen grenzen an Trölerei, hat doch die Einfachheit oder Kompliziertheit von schriftlich ausgefertigten Verträgen mit der Bedeutung des Vertragsobjekts nichts zu tun. Häufig werden einfache Mietverträge weitschweifig und umständlich formuliert, während anderseits oft für Millionengeschäfte keine schriftlichen Verträge abgeschlossen oder, z.B. bei Börsengeschäften, äusserst knapp gehalten werden. Wäre zwischen den Parteien ein echter Treuhandvertrag abgeschlossen worden, so hätte dieser jedenfalls weniger einfach abgefasst werden müssen als ein gewöhnlicher Kaufvertrag. Die Kürze des von den Parteien unterzeichneten Vertrages deutet also nicht auf ein fiduziarisches Geschäft. Überdies schloss dessen Inhalt eine bloss treuhänderische Eigentumsübertragung aus, wie die Vorinstanz zutreffend feststellt. Die Beweisbestimmung aber war gegeben. Der simulierte Vertrag wurde nur erstellt, weil die Eintragung von Funk als angeblichem Eigentümer des Flugzeugs gestützt auf die Anmeldung und die fingierte Rechnung misslungen war und der Registerführer die Vorlage des Kaufvertrages verlangt hatte. Dass mit einem Kaufvertrag allein der Eigentumsübergang nicht bewiesen werden kann, ist bedeutungslos. Zusammen mit der Rechnung und den in der Anmeldung enthaltenen Angaben war er geeignet, den behaupteten Eigentumserwerb durch Funk glaubhaft zu machen. Die Angelegenheit war für Funk und Mihaljevic so wichtig, dass sie vor der Erstellung und dem Gebrauch gefälschter Schriftstücke nicht zurückschreckten. Auch für sie bedeutete die Vorlage des Kaufvertrages keinesfalls bloss eine Formalität. Belanglos ist der Umstand, dass der Registerführer inbezug auf den Kaufvertrag misstrauisch wurde und, wie die betroffenen Beschwerdeführer behaupten, Weisungen des Rechtsdienstes einholte. Die Annahme der Urkundenfälschung im Sinne von Art. 251 Ziff. 1 StGB setzt bloss voraus, dass der Täter um eines unrechtmässigen Vorteils willen (hier die Eintragung im schweizerischen Luftfahrzeugregister) eine Urkunde fälscht, bzw. eine gefälschte Urkunde zur Täuschung verwendet, BGE 97 IV 210 S. 218 nicht auch, dass der angestrebte Erfolg eintrete. Abgesehen hievon erreichten sie schliesslich den Eintrag. Dispositiv Demnach erkennt der Kassationshof: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