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160</w:t>
      </w:r>
    </w:p>
    <w:p>
      <w:r>
        <w:t>Bundesgericht (BGE), 1971-01-01, DE</w:t>
      </w:r>
    </w:p>
    <w:p>
      <w:r>
        <w:rPr>
          <w:b/>
        </w:rPr>
        <w:t xml:space="preserve">Quelle: </w:t>
      </w:r>
      <w:r>
        <w:t>https://mcp.opencaselaw.ch/entscheid/bge_BGE_97_IV_160</w:t>
      </w:r>
    </w:p>
    <w:p>
      <w:r>
        <w:t>FR: ATF 97 IV 160</w:t>
      </w:r>
    </w:p>
    <w:p>
      <w:r>
        <w:t>IT: DTF 97 IV 160</w:t>
      </w:r>
    </w:p>
    <w:p>
      <w:pPr>
        <w:pStyle w:val="Heading2"/>
      </w:pPr>
      <w:r>
        <w:t>Regeste</w:t>
      </w:r>
    </w:p>
    <w:p>
      <w:r>
        <w:t>Regeste Art. 69, 110 Ziff. 7 StGB. Auslieferungshaft ist Untersuchungshaft.</w:t>
      </w:r>
    </w:p>
    <w:p>
      <w:r>
        <w:t>Regeste Art. 69, 110 ch. 7 CP. La détention en vue d'extradition est une détention préventive.</w:t>
      </w:r>
    </w:p>
    <w:p>
      <w:r>
        <w:t>Regesto Art. 69, 110 num. 7 CP. La detenzione in vista dell'estradizione è una detenzione preventiva.</w:t>
      </w:r>
    </w:p>
    <w:p>
      <w:pPr>
        <w:pStyle w:val="Heading2"/>
      </w:pPr>
      <w:r>
        <w:t>Erwägungen</w:t>
      </w:r>
    </w:p>
    <w:p>
      <w:r>
        <w:rPr>
          <w:b/>
        </w:rPr>
        <w:t>E. 1</w:t>
      </w:r>
    </w:p>
    <w:p>
      <w:r>
        <w:t>Als Untersuchungshaft, die nach Art. 69 StGB auf die Freiheitsstrafe angerechnet werden kann, gilt gemäss Art. 110 Ziff. 7 StGB jede in einem Strafverfahren verhängte Haft, gleichgültig, ob sie die Durchführung der Strafuntersuchung gewährleisten soll oder ob sie bloss die Sicherstellung der Person des Beschuldigten bezweckt. In beiden Fällen dient der Freiheitsentzug unmittelbar den Interessen der Strafverfolgung ( BGE 85 IV 123 ). Diese Voraussetzungen treffen auch auf die Auslieferungshaft zu, der sich ein Verfolgter während der Dauer des Auslieferungsverfahrens im Auslande zu unterziehen hat. Der Auslieferung ist begriffswesentlich, dass der Verfolgte durch die Behörden des Staates, auf dessen Gebiet er sich aufhält, den Behörden des verfolgenden Staates zur Durchführung einer gegen ihn gerichteten Strafverfolgung überantwortet wird. Die Haft, die der ersuchte Staat auf Begehren des verfolgenden anordnet und bis zum Vollzuge der Auslieferung aufrechterhält, um der ersuchenden Strafbehörde den Zugriff auf den Verfolgten zu verschaffen, liegt daher im Interesse der Strafverfolgung, weshalb die Auslieferungshaft als eine in einem Strafverfahren verhängte Haft im Sinne von BGE 97 IV 160 S. 161 Art. 110 Ziff. 7 StGB zu gelten hat (vgl. SCHULTZ, Das schweizerische Auslieferungsrecht, S. 15 und 190 Anm. 153; nicht veröffentlichter Entscheid vom 11. Dezember 1970 i.S. von Däniken S. 105 und vom 7. Januar 1969 i.S. Müller mit Hinweisen auf frühere Urteile).</w:t>
      </w:r>
    </w:p>
    <w:p>
      <w:r>
        <w:rPr>
          <w:b/>
        </w:rPr>
        <w:t>E. 2</w:t>
      </w:r>
    </w:p>
    <w:p>
      <w:r>
        <w:t>Die Anordnung der Auslieferungshaft ist einzig darauf zurückzuführen, dass der Beschwerdeführer nach Begehung der strafbaren Handlungen die Schweiz verlassen hat. Eine Anrechnung auf die Strafe käme somit nur insofern in Frage, als die Dauer der Haft durch ungewöhnliche Umstände, die mit dem Verhalten nach der Tat in keinem Kausalzusammenhang stünden, verlängert worden wäre. Der Beschwerdeführer macht nichts derartiges geltend.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