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146</w:t>
      </w:r>
    </w:p>
    <w:p>
      <w:r>
        <w:t>Bundesgericht (BGE), 1971-01-01, DE</w:t>
      </w:r>
    </w:p>
    <w:p>
      <w:r>
        <w:rPr>
          <w:b/>
        </w:rPr>
        <w:t xml:space="preserve">Quelle: </w:t>
      </w:r>
      <w:r>
        <w:t>https://mcp.opencaselaw.ch/entscheid/bge_BGE_97_IV_146</w:t>
      </w:r>
    </w:p>
    <w:p>
      <w:r>
        <w:t>FR: ATF 97 IV 146</w:t>
      </w:r>
    </w:p>
    <w:p>
      <w:r>
        <w:t>IT: DTF 97 IV 146</w:t>
      </w:r>
    </w:p>
    <w:p>
      <w:pPr>
        <w:pStyle w:val="Heading2"/>
      </w:pPr>
      <w:r>
        <w:t>Regeste</w:t>
      </w:r>
    </w:p>
    <w:p>
      <w:r>
        <w:t>Regeste Art. 350 Ziff. 1 Abs. 2 StGB. Bestimmung des Gerichtsstandes. 1. Der Gerichtsstand richtet sich nach den strafbaren Handlungen, die Gegenstand der Untersuchung bilden und nicht auf einer offensichtlich haltlosen Beschuldigung beruhen (Erw. 1). 2. Voraussetzungen für die nachträgliche Änderung eines von der Anklagekammer festgesetzten oder von den beteiligten Kantonen vereinbarten Gerichtsstandes (Erw. 2 und 3).</w:t>
      </w:r>
    </w:p>
    <w:p>
      <w:r>
        <w:t>Regeste Art. 350 ch. 1 al. 2 CP. Fixation du for. 1. Le for se détermine en fonction des actes punissables qui font l'objet de l'instruction, en tant qu'ils ne constituent pas une accusation manifestement dépourvue de fondement (consid. 1). 2. Conditions d'un changement subséquent du for fixé par la Chambre d'accusation ou par accord entre cantons (consid. 2 et 3).</w:t>
      </w:r>
    </w:p>
    <w:p>
      <w:r>
        <w:t>Regesto Art. 350 num. 1 cpv. 2 CP. Fissazione del foro. 1. Il foro vien determinato in funzione degli atti punibili oggetto dell'istruttoria, purchè essi non costituiscano un'accusa manifestamente destituita di fondamento (consid. 1). 2. Presupposti per un susseguente cambiamento del foro fissato dalla Camera di accusa o da un accordo tra i cantoni (consid. 2 e 3).</w:t>
      </w:r>
    </w:p>
    <w:p>
      <w:pPr>
        <w:pStyle w:val="Heading2"/>
      </w:pPr>
      <w:r>
        <w:t>Erwägungen</w:t>
      </w:r>
    </w:p>
    <w:p>
      <w:r>
        <w:rPr>
          <w:b/>
        </w:rPr>
        <w:t>E. 1</w:t>
      </w:r>
    </w:p>
    <w:p>
      <w:r>
        <w:t>Als der Generalprokurator des Kantons Bern am 17. Februar den Gerichtsstand Bern anerkannte, ging er davon aus, dass die in Orpund ausgeführte Tat als vollendete Entwendung eines Motorfahrzeuges zum Gebrauch gewürdigt werden "dürfte", also mit gleich schwerer Strafe bedroht sei wie die in Basel verübte Entwendung, und dass den Beschuldigten der in der Basler Strafanzeige erwähnte Diebstahl an einem Mantel usw. im damaligen Zeitpunkt nicht nachgewiesen werden könne. Diese Überlegungen hätten, wenn die Anklagekammer damals zum Entscheide angerufen worden wäre, für die Bestimmung des Gerichtsstandes nicht standgehalten, sondern waren dem anerkennenswerten Bestreben des Generalprokurators zuzuschreiben, die aus einer bernischen Erziehungsanstalt entwichenen Beschuldigten im Kanton Bern beurteilen zu lassen. Einmal war es gewagt, das Hantieren an einem Personenwagen in Orpund entgegen den Vorwürfen, die Oppliger und Scheidegger bei der Einvernahme vom 7. Januar und in der Strafanzeige vom 11. Januar gemacht worden waren, nicht bloss als versuchte, sondern als vollendete Entwendung zum Gebrauch zu würdigen. Sei dem wie ihm wolle, war die in Orpund ausgeführte Tat den bernischen Behörden erst am 7. Januar bekannt geworden, während die in Basel begangene Entwendung eines Personenwagens schon am 6. Januar angezeigt worden war, weshalb gemäss Art. 350 Ziff. 1 Abs. 2 StGB die Gerichtsbarkeit zur Verfolgung aller Handlungen auch abgesehen vom Vorwurf des Diebstahls den Behörden des Kantons Basel-Stadt zustand. Dazu kommt, dass der Gerichtsstand nicht davon abhängt, was dem Beschuldigten schliesslich nachgewiesen werden kann. Er richtet sich nach den strafbaren Handlungen, die durch die Strafverfolgung abgeklärt werden sollen, d.h. Gegenstand der Untersuchungen bilden, es wäre denn, dass sich die massgebende Beschuldigung von vornherein als haltlos erweise ( BGE 71 IV 167 , BGE 74 IV 125 , BGE 87 IV 44 , BGE 88 IV 44 , BGE 91 IV 55 ). Der Diebstahl an einem Mantel, einem Polsterkissen und Storenstoff bildete Gegenstand der in Basel angehobenen und vom Untersuchungsrichter von Nidau fortgesetzten Untersuchung, ohne BGE 97 IV 146 S. 150 dass am 17. Februar gesagt werden konnte, die Beschuldigung, gegenüber Oppliger oder Scheidegger oder gegenüber beiden erhoben, sei von vornherein haltlos. Scheidegger war zu diesem Vorwurf überhaupt noch nicht einvernommen worden, und Oppliger hatte am 9. Februar zugegeben, dass sich im Wagen eine Blache befunden habe, die sie im Kanton Zürich abgelegt hätten. Das wies darauf hin, dass der Diebstahl am sog. Storenstoff von Oppliger und Scheidegger ausgeführt worden sein könnte. Ferner ergab sich aus der Strafanzeige vom 6. Januar, dass die Täter in der Werkstatt des Geschädigten in Basel einen blauen Reportermantel und zwei Paar Handschuhe zurückgelassen haben sollen. Das war ein Anzeichen dafür, dass sie sich anderseits den dem Geschädigten abhanden gekommenen Kapuzenmantel angeeignet haben könnten. Der Generalprokurator des Kantons Bern hat denn auch am 17. Februar nicht angenommen, der Vorwurf des Diebstahls sei offensichtlich haltlos, sondern nur, dieses Verbrechen könne den beiden Beschuldigten "im heutigen Zeitpunkt" nicht nachgewiesen werden. Der Generalprokurator des Kantons Bern hätte daher den Gerichtsstand dieses Kantons - unter Hinweis auf den Entscheid der Anklagekammer vom 13. Oktober 1970 i.S. Michel - mit der Begründung ablehnen können, für die Verfolgung des Diebstahls an den im Wagen befindlichen Sachen sei Basel zuständig, wo der Wagen weggenommen und schon am 6. Januar 1971 wegen Diebstahls Strafanzeige erstattet worden war. Nachdem er sich am 17. Februar 1971 mit der Jugendanwaltschaft des Kantons Basel-Stadt, wenn auch unter einem Vorbehalt, auf den Gerichtsstand Bern geeinigt hat, geht die Berufung auf den Entscheid i.S. Michel jedoch fehl, weil nun über die nachträgliche Änderung eines vorläufig anerkannten Gerichtsstandes zu entscheiden ist.</w:t>
      </w:r>
    </w:p>
    <w:p>
      <w:r>
        <w:rPr>
          <w:b/>
        </w:rPr>
        <w:t>E. 2</w:t>
      </w:r>
    </w:p>
    <w:p>
      <w:r>
        <w:t>Die nachträgliche Änderung eines von der Anklagekammer festgesetzten oder von den beteiligten Kantonen vereinbarten Gerichtsstandes ist nur aus triftigen Gründen zu bewilligen ( BGE 69 IV 46 Erw. 2, BGE 71 IV 61 , BGE 85 IV 210 Erw. 3, BGE 96 IV 93 ). Die Strafverfolgung müsste leiden, wenn ein einmal festgelegter Gerichtsstand nachträglich ohne Notwendigkeit verschoben würde. Ob ein triftiger Grund vorliegt, beurteilt sich nach objektiven Gesichtspunkten, nicht nach den Überlegungen und Vorstellungen der Behörde, die den Gerichtsstand anerkannte. BGE 97 IV 146 S. 151 Auch wenn bei der Anerkennung ein Vorbehalt gemacht wurde, können diese Überlegungen und Vorstellungen nicht schlechthin massgebend sein. Das vertrüge sich mit den Bedürfnissen einer raschen und zweckmässigen Strafverfolgung nicht immer. Im vorliegenden Falle lautete der Vorbehalt des Generalprokurators des Kantons Bern dahin, "dass sich im Laufe des weiteren Verfahrens nicht neue, die örtliche Zuständigkeit beeinflussende Gesichtspunkte ergäben". Dieser Vorbehalt schliesst eine blosse "revisio in iure" des Gerichtsstandsbeschlusses vom 17. Februar aus. Der Umstand, dass der Generalprokurator damals annahm, der Diebstahl könne den Beschuldigten "im heutigen Zeitpunkt" nicht nachgewiesen werden, und er diesen Nachweis nunmehr für möglich hält, ist kein triftiger Grund zur Änderung des Gerichtsstandes, da dieser schon damals richtigerweise nicht von der Möglichkeit des Schuldbeweises, sondern von den erhobenen Beschuldigungen abhing. Nur neue Beschuldigungen, die sich auf erst nach dem 17. Februar ausgeführte oder den Behörden bekannt gewordene Handlungen stützen, können allenfalls Anlass zu einer Änderung des Gerichtsstandes geben.</w:t>
      </w:r>
    </w:p>
    <w:p>
      <w:r>
        <w:rPr>
          <w:b/>
        </w:rPr>
        <w:t>E. 3</w:t>
      </w:r>
    </w:p>
    <w:p>
      <w:r>
        <w:t>Neu in diesem Sinne ist der Vorwurf, Scheidegger habe am 8. Februar in Le Landeron einen Personenwagen zum Gebrauch entwendet oder gestohlen. Diese Tat war den bernischen Behörden am 17. Februar nicht bekannt. Sie vermag indessen den Gerichtsstand nicht zu verschieben, da sie später zum Gegenstand einer Untersuchung gemacht wurde als die Entwendung und der Diebstahl, die in Basel angezeigt worden sind. Übrigens käme wegen der im Kanton Neuenburg ausgeführten Tat eine Verschiebung des Gerichtsstandes nach Basel oder Zürich ohnehin nicht in Frage, denn Scheidegger fuhr mit dem entwendeten Wagen von Le Landeron nach Genf und Marseille, nicht nach Basel oder Zürich. Neu bekannt geworden ist sodann der Diebstahl an einem Paar Handschuhen, den Scheidegger am 9. Februar in der Gegend von Marseille verübt haben will. Da Scheidegger Schweizer ist und sich in der Schweiz befindet, muss er für diese Tat in der Schweiz verfolgt werden ( Art. 6 StGB ). Aber auch dieser Umstand bildet keinen triftigen Grund zur Verschiebung des Gerichtsstandes nach Basel oder Zürich. Im Ausland verübte strafbare Handlungen sind in der Schweiz am Wohnort des Täters und subsidiär an dessen Heimatort zu verfolgen BGE 97 IV 146 S. 152 ( Art. 348 StGB ). Unter dem Wohnort ist nicht der zivilrechtliche Wohnsitz zu verstehen, sondern der Mittelpunkt des Lebens des Beschuldigten ( BGE 76 IV 269 ). Dieser Mittelpunkt befand und befindet sich für Scheidegger vorläufig noch in der Erziehungsanstalt Tessenberg, also im Kanton Bern, eventuell bei seinen Eltern in Grenchen, Kanton Solothurn. Wäre anzunehmen, Scheidegger habe keinen Wohnort, so wäre massgebend, dass er im Kanton Bern heimatberechtigt ist. Der in der Gegend von Marseille verübte Diebstahl müsste somit an sich im Kanton Bern, eventuell im Kanton Solothurn, keinesfalls aber in Basel oder Zürich verfolgt werden, wenn nicht Art. 350 Ziff. 1 StGB zuträfe. Der Generalprokurator des Kantons Bern beruft sich denn auch nicht auf diese Tat, um sein Gesuch zu begründen.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