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124</w:t>
      </w:r>
    </w:p>
    <w:p>
      <w:r>
        <w:t>Bundesgericht (BGE), 1971-01-01, FR</w:t>
      </w:r>
    </w:p>
    <w:p>
      <w:r>
        <w:rPr>
          <w:b/>
        </w:rPr>
        <w:t xml:space="preserve">Quelle: </w:t>
      </w:r>
      <w:r>
        <w:t>https://mcp.opencaselaw.ch/entscheid/bge_BGE_97_IV_124</w:t>
      </w:r>
    </w:p>
    <w:p>
      <w:r>
        <w:t>FR: ATF 97 IV 124</w:t>
      </w:r>
    </w:p>
    <w:p>
      <w:r>
        <w:t>IT: DTF 97 IV 124</w:t>
      </w:r>
    </w:p>
    <w:p>
      <w:pPr>
        <w:pStyle w:val="Heading2"/>
      </w:pPr>
      <w:r>
        <w:t>Regeste</w:t>
      </w:r>
    </w:p>
    <w:p>
      <w:r>
        <w:t>Regeste Art. 26 Abs. 2, 49 Abs. 2 SVG; 47 Abs. 1 und 5 VRV. 1. Ein Handzeichen enthebt den Fussgänger, der die Strasse ausserhalb von Fussgängerstreifen überquert, nicht der Pflicht, den Fahrzeugen den Vortritt zu gewähren (Erw. 2). 2. Das Vortrittsrecht des Automobilisten gegenüber einem die Strasse ausserhalb von Fussgängerstreifen überquerenden Fussgänger ist nicht absolut; es ist durch die Grundregel des Art. 26 SVG eingeschränkt (Erw. 4 a). 3. Im Fall des Zusammentreffens von Fussgängern und Fahrzeugen ist von einem weiten Begriff der Anzeichen, die die besondere Vorsichtspflicht des Automobilisten begründen, auszugehen (Erw. 4 b).</w:t>
      </w:r>
    </w:p>
    <w:p>
      <w:r>
        <w:t>Regeste Art. 26 al. 2; 49 al. 2 LCR; 47 al. 1 et 5 OCR. 1. Un signe de la main ne dispense pas le piéton qui traverse la chaussée en dehors des passages de sécurité d'accorder la priorité aux véhicules (consid. 2). 2. Le droit de priorité dont bénéficie l'automobiliste à l'égard du piéton qui traverse la chaussée en dehors des passages de sécurité n'est pas absolu; il est tempéré par le principe formulé à l'art. 26 LCR (consid. 4 a). 3. S'agissant de la rencontre de piétons et de véhicules, il convient de se montrer large quant à l'appréciation des indices qui doivent éveiller l'attention de l'automobiliste et le rendre circonspect (consid. 4 b).</w:t>
      </w:r>
    </w:p>
    <w:p>
      <w:r>
        <w:t>Regesto Art. 26 cpv. 2, 49 cpv. 2 LCStr.; 47 cpv. 1 e 5 OCStr. 1. Un cenno con la mano non dispensa il pedone che attraversa la carreggiata all'infuori dei passaggi pedonali dall'accordare la precedenza agli autoveicoli (consid. 2). 2. Il diritto di precedenza di cui fruisce l'automobilista nei confronti del pedone che attraversa la carreggiata all'infuori dei passaggi pedonali non è assoluto, ma è temperato dal principio formulato all'art. 26 LCStr. (consid. 4 a). 3. Nell'incontro tra pedone e veicolo occorre mostrarsi larghi nell'apprezzamento degli indizi che debbono svegliare l'attenzione dell'automobilista e renderlo circospetto (consid. 4 b).</w:t>
      </w:r>
    </w:p>
    <w:p>
      <w:pPr>
        <w:pStyle w:val="Heading2"/>
      </w:pPr>
      <w:r>
        <w:t>Erwägungen</w:t>
      </w:r>
    </w:p>
    <w:p>
      <w:r>
        <w:rPr>
          <w:b/>
        </w:rPr>
        <w:t>E. 1</w:t>
      </w:r>
    </w:p>
    <w:p>
      <w:r>
        <w:t>...</w:t>
      </w:r>
    </w:p>
    <w:p>
      <w:r>
        <w:rPr>
          <w:b/>
        </w:rPr>
        <w:t>E. 2</w:t>
      </w:r>
    </w:p>
    <w:p>
      <w:r>
        <w:t>Les époux Scherrer, ainsi que le relève la recourante, ont commis une faute. On ne peut certes reprocher à Gertrude Scherrer, âgée de 67 ans et malade du coeur, d'avoir renoncé à utiliser le passage souterrain situé à 150 m de la sortie du parc en direction de Lausanne; mais les époux avaient la faculté de rebrousser chemin et de passer par l'intérieur du jardin botanique. Se sachant incapables de se déplacer rapidement, ils auraient dû préférer cette solution. Ayant choisi celle, peu raisonnable, qui consistait à traverser une artère large et fréquentée en dehors des passages de sécurité, ils auraient dû, à tout le moins, accorder la priorité aux véhicules; un signe de la main ne les en dispensait pas. Contrairement à l'opinion exprimée par les autorités cantonales, les époux Scherrer ont donc manqué objectivement à leur devoir de prudence et violé le droit de priorité de la recourante (art. 49 al. 2 LCR; art. 47 al. 1 et 5 OCR). Le seul point douteux est de savoir si, subjectivement, ils ont commis une faute. Cette question peut toutefois rester indécise, car le comportement même illicite des piétons ne saurait atténuer ou supprimer une faute pénale de la recourante.</w:t>
      </w:r>
    </w:p>
    <w:p>
      <w:r>
        <w:rPr>
          <w:b/>
        </w:rPr>
        <w:t>E. 3</w:t>
      </w:r>
    </w:p>
    <w:p>
      <w:r>
        <w:t>...</w:t>
      </w:r>
    </w:p>
    <w:p>
      <w:r>
        <w:rPr>
          <w:b/>
        </w:rPr>
        <w:t>E. 4</w:t>
      </w:r>
    </w:p>
    <w:p>
      <w:r>
        <w:t>La recourante conteste avoir enfreint les règles de la circulation. Se fondant sur l'arrêt Catterini, du 15 novembre 1968, publié au RO 94 IV 140, elle affirme que les époux Scherrer, BGE 97 IV 124 S. 127 en faisant irruption de façon soudaine et imprévue sur sa voie, ont violé la priorité qu'ils devaient lui accorder en vertu de l'art. 47 al. 5 OCR. a) Comme le droit de priorité qui s'exerce entre véhicules aux intersections, celui dont bénéficie l'automobiliste à l'égard du piéton qui traverse la chaussée en dehors des passages de sécurité (art. 47 al. 5 OCR) n'est pas absolu (cf. art. 33 al. 1 LCR; art. 6 al. 3 et 14 al. 2 OCR); il est tempéré par le principe formulé à l'art. 26 LCR (RO 94 IV 141). Si des indices donnent à penser au conducteur prioritaire que son droit ne sera pas respecté, il doit faire preuve d'une prudence particulière et tout entreprendre pour éviter un accident (RO 90 IV 90; 92 IV 139 ; 93 IV 33 ). Par contre, en l'absence de tels indices, il lui est loisible d'exercer son droit, dont il peut escompter l'observation par autrui; il n'a pas, en vertu du principe dit de confiance, à prendre des mesures particulières pour le cas où il n'en serait pas ainsi (RO 92 IV 139; 93 IV 34 ). De même, il ne doit pas s'attendre qu'un piéton, lui refusant la priorité, traversera brusquement devant lui, en dehors d'un passage de sécurité. Il n'est même pas tenu de réduire sa vitesse en voyant un piéton s'engager sur la chaussée, à sa gauche, si rien ne fait prévoir un comportement incorrect. En effet, le piéton traverse souvent en deux temps: il marche tout d'abord jusqu'au milieu de la chaussée, s'y arrête et y attend le moment où il pourra continuer son chemin sans danger (RO 93 IV 142). Si, après avoir suspendu son mouvement, il décide de le reprendre, à courte distance d'un véhicule qui s'approche à une vitesse normale, aucun grief ne peut être fait à l'automobiliste qui, malgré une réaction immédiate, ne peut éviter une collision. b) S'agissant de la rencontre de piétons et de véhicules, il convient de se montrer large quant à l'appréciation des indices qui doivent éveiller l'attention de l'automobiliste et le rendre circonspect; d'une part, les conséquences d'un accident sont presque toujours sérieuses dans cette éventualité et, d'autre part, la proportion des piétons qui ignorent les rudiments des règles de la circulation est plus grande que pour n'importe quelle autre catégorie des usagers de la route. Ainsi, lorsqu'il voit un piéton traverser la rue sans s'arrêter, le conducteur ne présumera pas que son droit de priorité sera respecté. De même, si, dans une colonne, il laisse un espace relativement grand entre son véhicule et celui qui le précède, il doit prévoir qu'un piéton BGE 97 IV 124 S. 128 s'élance devant lui, en croyant pouvoir profiter de l'ouverture pour passer (RO 94 IV 142). De plus, en général et conformément à l'art. 26 al. 2 LCR, une prudence particulière s'impose à l'égard des enfants, des infirmes et des personnes âgées. c) A la lumière des principes rappelés ci-dessus, le cas présent se distingue nettement du précédent évoqué par la recourante. Celle-ci avait en effet de multiples raisons de se douter que son droit de priorité ne serait pas respecté. D'abord, les époux Scherrer n'ont pas fait une véritable halte au milieu de la chaussée; ils n'ont suspendu leur marche que le temps de regarder à droite. A ce moment, ils se trouvaient à 100 m environ de la recourante. Il tombait sous le sens qu'ils allaient profiter de cet espace, suffisant pour une personne ingambe, pour quitter leur position dangereuse au milieu de la route. Ensuite, Kilian Scherrer a fait de la main, avant de poursuivre son chemin, un geste non équivoque dont la recourante a compris la signification. Certes, un tel signe, en dehors d'un passage de sécurité, ne supprime pas le droit de priorité de l'automobiliste, mais il n'en constitue pas moins une indication claire dont ce dernier doit tenir compte. Enfin, les deux époux, qui se déplaçaient difficilement, étaient visiblement des vieillards; or ceux-ci sous-estiment souvent les périls de la circulation, dont beaucoup méconnaissent d'ailleurs les règles. d) Devant inférer des circonstances que le couple Scherrer allait couper sa trajectoire, la recourante aurait dû soit ralentir immédiatement, de façon à pouvoir stopper le cas échéant, soit user de son avertisseur pour montrer clairement qu'elle entendait exercer son droit de priorité. Au lieu de cela, elle a hésité plusieurs secondes. De plus, ayant réagi trop tard, il est incompréhensible qu'elle ait continué sa course droit devant elle. En effet, son véhicule a happé les piétons à 1 m 20 seulement du bord du trottoir. C'est dire qu'elle disposait encore, sur la portion droite de la chaussée, d'un espace supérieur à 6 m, dans lequel elle aurait pu s'engager en obliquant légèrement à gauche. Elle a donc été condamnée à bon droit, car elle n'a pas réagi de façon adéquate.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