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209</w:t>
      </w:r>
    </w:p>
    <w:p>
      <w:r>
        <w:t>Bundesgericht (BGE), 1971-01-01, FR</w:t>
      </w:r>
    </w:p>
    <w:p>
      <w:r>
        <w:rPr>
          <w:b/>
        </w:rPr>
        <w:t xml:space="preserve">Quelle: </w:t>
      </w:r>
      <w:r>
        <w:t>https://mcp.opencaselaw.ch/entscheid/bge_BGE_97_II_209</w:t>
      </w:r>
    </w:p>
    <w:p>
      <w:r>
        <w:t>FR: ATF 97 II 209</w:t>
      </w:r>
    </w:p>
    <w:p>
      <w:r>
        <w:t>IT: DTF 97 II 209</w:t>
      </w:r>
    </w:p>
    <w:p>
      <w:pPr>
        <w:pStyle w:val="Heading2"/>
      </w:pPr>
      <w:r>
        <w:t>Regeste</w:t>
      </w:r>
    </w:p>
    <w:p>
      <w:r>
        <w:t>Regeste Art. 626 ZGB. Das Geld, das ein Vater der geschiedenen Frau und den Kindern seines Sohnes zahlt, um für ihren Unterhalt zu sorgen, unterliegt nicht der Ausgleichung.</w:t>
      </w:r>
    </w:p>
    <w:p>
      <w:r>
        <w:t>Regeste Art. 626 CC. L'argent qu'un père verse à la femme divorcée et aux enfants de son fils, pour subvenir à leur entretien, n'est pas assujetti au rapport.</w:t>
      </w:r>
    </w:p>
    <w:p>
      <w:r>
        <w:t>Regesto Art. 626 CC. Il denaro che un padre versa alla moglie divorziata e ai bambini di suo figlio per il loro sostentamento non è soggetto a collazione.</w:t>
      </w:r>
    </w:p>
    <w:p>
      <w:pPr>
        <w:pStyle w:val="Heading2"/>
      </w:pPr>
      <w:r>
        <w:t>Erwägungen</w:t>
      </w:r>
    </w:p>
    <w:p>
      <w:r>
        <w:rPr>
          <w:b/>
        </w:rPr>
        <w:t>E. 1</w:t>
      </w:r>
    </w:p>
    <w:p>
      <w:r>
        <w:t>Ressortissant allemand, Karl Schuricht était domicilié à Corseaux-sur-Vevey lorsqu'il est décédé. Sa succession est ainsi soumise au droit suisse (art. 22 et 32 LRDC).</w:t>
      </w:r>
    </w:p>
    <w:p>
      <w:r>
        <w:rPr>
          <w:b/>
        </w:rPr>
        <w:t>E. 2</w:t>
      </w:r>
    </w:p>
    <w:p>
      <w:r>
        <w:t>L'art. 626 CC dispose: "Les héritiers légaux sont tenus l'un envers l'autre au rapport de toutes les libéralités entre vifs reçues à titre d'avancement d'hoirie. Sont assujettis au rapport, faute par le défunt d'avoir expressément disposé le contraire, les constitutions de dot, frais d'établissement, abandons de biens, remises de dettes et autres avantages semblables faits en faveur de descendants." En l'espèce, Karl Schuricht n'a pas fait de libéralités à son fils Helmut Weisbach. C'est uniquement la femme de celui-ci et ses enfants qui ont été les destinataires des subsides versés par le de cujus. La seule question qui puisse se poser est de BGE 97 II 209 S. 212 savoir si, par les versements de ces prestations, l'intimé a bénéficié d'un "avantage semblable" au sens de l'art. 626 al. 2 CC. Elle doit être tranchée par la négative. Il n'est en effet même pas établi que l'intimé se soit abstenu de fournir des aliments à Bertha Weisbach et à ses enfants parce que ceux-ci recevaient des subsides de Karl Schuricht. Il ressort au contraire du jugement déféré que l'intimé n'était pas en mesure jusqu'en 1955 d'entretenir sa femme divorcée et ses enfants. On ne saurait considérer dans ces conditions que les prestations du de cujus aient eu en quelque sorte pour effet d'éteindre une dette d'entretien de l'intimé. C'est dire que les subsides versés par le de cujus n'ont procuré aucun avantage à Helmut Weisbach. Celui-ci ne saurait dès lors être tenu de rapporter à la succession des libéralités faites à des tiers et qui n'ont constitué pour lui aucun avantage patrimonial.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