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108</w:t>
      </w:r>
    </w:p>
    <w:p>
      <w:r>
        <w:t>Bundesgericht (BGE), 1971-01-01, DE</w:t>
      </w:r>
    </w:p>
    <w:p>
      <w:r>
        <w:rPr>
          <w:b/>
        </w:rPr>
        <w:t xml:space="preserve">Quelle: </w:t>
      </w:r>
      <w:r>
        <w:t>https://mcp.opencaselaw.ch/entscheid/bge_BGE_97_II_108</w:t>
      </w:r>
    </w:p>
    <w:p>
      <w:r>
        <w:t>FR: ATF 97 II 108</w:t>
      </w:r>
    </w:p>
    <w:p>
      <w:r>
        <w:t>IT: DTF 97 II 108</w:t>
      </w:r>
    </w:p>
    <w:p>
      <w:pPr>
        <w:pStyle w:val="Heading2"/>
      </w:pPr>
      <w:r>
        <w:t>Regeste</w:t>
      </w:r>
    </w:p>
    <w:p>
      <w:r>
        <w:t>Regeste Verein; Verbindlichkeit von Generalversammlungsbeschlüssen (Art. 63 Abs. 2 ZGB). Die Vereinssatzungen dürfen die von der Rechtsordnung gesetzten Grenzen nicht überschreiten. Eine Statutenbestimmung, welche Dritten ein Einspracherecht gegenüber sämtlichen Beschlüssen der Generalversammlung der Vereinsmitglieder einräumt, ist mit der Vereinsautonomie nicht vereinbar; sie verstösst gegen die guten Sitten und ist daher nichtig.</w:t>
      </w:r>
    </w:p>
    <w:p>
      <w:r>
        <w:t>Regeste Association; force obligatoire des décisions de l'assemblée générale (art. 63 al. 2 CC). Les statuts d'une association ne peuvent transgresserleslimites imposées par l'ordre juridique. Une disposition statutaire qui octroie à des tiers un droit d'opposition contre toutes les décisions de l'assemblée générale des membres de l'association n'est pas compatible avec l'autonomie de l'association; elle est contraire aux bonnes moeurs et partant nulle.</w:t>
      </w:r>
    </w:p>
    <w:p>
      <w:r>
        <w:t>Regesto Associazione; obbligatorietà delle decisioni dell'assemblea generale (art. 63 cpv. 2 CC). Gli statuti di un'associazione non possono valicare i limiti posti dall'ordinamento giuridico. Una disposizione statutaria che accorda a terzi un diritto di opposizione contro tutte le decisioni dell'assemblea generale dei membri dell'associazione non è compatibile con l'autonomia dell'associazione; essa è contaria ai buoni costumi e, quindi, nulla.</w:t>
      </w:r>
    </w:p>
    <w:p>
      <w:pPr>
        <w:pStyle w:val="Heading2"/>
      </w:pPr>
      <w:r>
        <w:t>Erwägungen</w:t>
      </w:r>
    </w:p>
    <w:p>
      <w:r>
        <w:rPr>
          <w:b/>
        </w:rPr>
        <w:t>E. 1</w:t>
      </w:r>
    </w:p>
    <w:p>
      <w:r>
        <w:t>Mit der Klage wird die Untersagung der Auszahlung eines Betrages von Fr. 12'500.-- verlangt. Es ist somit eine vermögensrechtliche Streitigkeit im Sinne von Art. 46 OG gegeben, wobei sich das Rechtsbegehren ausdrücklich auf eine bestimmte Geldsumme bezieht, was für die Bestimmung des Streitwertes massgebend ist ( Art. 36 Abs. 1 OG ). Da ein einziger vermögensrechtlicher Anspruch eingeklagt ist, stellt der Betrag von Fr. 12'500.-- das im Rechtsstreit stehende Vermögensinteresse dar (vgl. analogBGE 78 II 183lit. b). Die Frage der Gültigkeit statutarischer Bestimmungen, insbesondere von Art. 12 der Statuten des Beklagten, bildet lediglich ein Motiv für den Entscheid über das Rechtsbegehren. Die Klage ist auch nicht auf die Anfechtung von Beschlüssen der Generalversammlung gerichtet, bei denen das Gesamtinteresse des beklagten Vereins massgebend wäre (vgl. hiezu das unveröffentlichte Urteil des Bundesgerichts vom 5. Februar 1960 i.S. R. c. R., Erw. 1). Bei einem Streitwert von Fr. 12'500.-- ist die Berufung gemäss Art. 46 OG zulässig.</w:t>
      </w:r>
    </w:p>
    <w:p>
      <w:r>
        <w:rPr>
          <w:b/>
        </w:rPr>
        <w:t>E. 2</w:t>
      </w:r>
    </w:p>
    <w:p>
      <w:r>
        <w:t>Unbestritten ist, dass die beklagte Hilfskasse sich in aller Form rechtens als Verein nach Art. 60 ff. ZGB konstituiert hat, die erforderliche Organisation und entsprechende Organe BGE 97 II 108 S. 113 ( Art. 64 ff. ZGB ) besitzt und gemäss Art. 60 ZGB Rechtspersönlichkeit erlangt hat. An dieser Rechtslage ändert auch die Tatsache nichts, dass Dritte, nämlich der klagende Verband Archimedes und die Schulleitung des Abend-Technikums Zürich, die Vereinsstatuten ebenfalls genehmigten und dem Vorstand angehören, was mangels eines statutarischen Verbotes zulässig ist ( BGE 73 II 1 ff.). Als rechtmässig gegründeter juristischer Person kommt dem Beklagten die Vereinsautonomie zu (vgl. BGE 73 II 2 oben; EGGER, Kommentar, N. 3 zu Art. 63 ZGB ). Ihrem wesentlichen Gehalt nach besteht die Vereinsautonomie in der Macht, gemäss Gesetz zur Regelung der Verhältnisse des Vereins und seiner Betätigung Normen zu schaffen. Die Festlegung der Satzungen oder der Vereinsstatuten gehört zu den wichtigsten Erscheinungsformen der Autonomie auf dem Gebiete des Privatrechts (KLANG/PISKO, Kommentar zum ABGB, 2. Aufl., Bd. I/1, Vorbemerkungen zu §§ 2-13, S. 57 ff. Ziff. IV). Ebenso anerkannt wie dieses Recht statutarischer Regelung ist aber auch, dass diese Regelung nur im Rahmen der gesetzlichen Grenzen verbindlich erfolgen kann (KLANG/PISKO, a.a.O.). Wie dieses Recht zum Erlass von Satzungen theoretisch begründet wird, ob mit gesetzlicher Verleihung, dem Selbstbestimmungsrecht oder der Vertragsfreiheit, kann offen bleiben. In jedem Falle können die Satzungen nur innerhalb des gesetzlichen Rahmens begründet werden, wie das in Art. 63 Abs. 2 ZGB auch zum Ausdruck kommt. Vorbehalten bleiben somit auch gegenüber den Satzungen oder Vereinsstatuten zwingendes Recht und die guten Sitten (EGGER, N. 3 und 4 zu Art. 63 ZGB ; RGR-Komm. zum BGB, 11. Aufl., Anm. 3 zu § 25, 1. Satz). Statutarische Bestimmungen, welche diese Schranken überschreiten, können daher keinen Bestand haben.</w:t>
      </w:r>
    </w:p>
    <w:p>
      <w:r>
        <w:rPr>
          <w:b/>
        </w:rPr>
        <w:t>E. 3</w:t>
      </w:r>
    </w:p>
    <w:p>
      <w:r>
        <w:t>Die Vereinsautonomie hat zur Folge, dass der Verein ein bedeutendes Mass an Selbständigkeit und Unabhängigkeit besitzt. Das Recht, seine Angelegenheiten selbst zu verwalten, wird als für den Bestand des Vereins wesentlich betrachtet (RGR-Komm. zum BGB, 11. Aufl., Anm. 6 zu § 25). Die Autonomie bedingt daher auch, dass die freie Willensbildung grundsätzlich gewährleistet sein muss. Es hätte keinen Sinn, dem Verein die Freiheit der innern Gestaltung (EGGER, N. 3 zu Art. 63 ZGB ) zuzugestehen, gleichzeitig aber grundlegende Beschränkungen der freien Willensbildung zuzulassen. Das ganze Vereinsrecht BGE 97 II 108 S. 114 ist auf die Gewährleistung grundsätzlich selbständiger Willensbildung angelegt: so die Bestimmungen über die Vereinsversammlung als oberstes Organ des Vereins ( Art. 64 ZGB ), das Stimmrecht der Mitglieder und den Entscheid der Mehrheit (Majoritätsherrschaft, Art. 67 Abs. 1 und 2 ZGB ), die Regelung der Beschlussfassung ( Art. 66-68 ZGB ). Daraus ist zu schliessen, dass der Verein seiner Selbständigkeit nicht soll beraubt werden können (HEINI, Schweizerisches Privatrecht, Bd. II, S. 522). Der Kläger macht nun geltend, Einschränkungen des Selbstbestimmungsrechts von Vereinen seien sehr häufig, vor allem im Verhältnis von Ober- und Unterverbänden und im Verhältnis zu öffentlichen Körperschaften. Der vorliegende Fall sei mit diesen Erscheinungen nicht identisch, aber nahe verwandt; denn der beklagte Verein diene der Verfolgung eines Zweckes, welcher den Gründerparteien und dem Beklagten gemeinsam sei. Gewiss sind Bindungen, auch statutarische, des Vereins zulässig. Indessen gestattet die Freiheit der Vereinsgründung und seiner inneren Ausgestaltung nicht irgendwelche Bindungen. Selbst EGGER, auf den sich der Kläger beruft, betont, dass die allgemeinen Anforderungen der Rechtsordnung auch gegenüber rechtsgeschäftlichen Bindungen vorbehalten bleiben (N. 17 in fine zu Art. 53 und N. 3 zu Art. 63 ZGB ). Der beklagte Verein hat aber, wie ein Vergleich von Art. 2 und 3 mit Art. 11 d und 12 der Statuten ergibt, die Verfolgung seines Zweckes vollständig in das Belieben der beiden Gründerparteien gestellt. Die Verbindlichkeit sämtlicher Beschlüsse der Generalversammlung wird in Art. 12 zum vorneherein und ohne Einschränkung von der Zustimmung Dritter abhängig gemacht, während dies Sache der Generalversammlung als oberstem Vereinsorgan wäre (vgl. hiezuBGE 67 I 346). Durch diese statutarische Regelung wird die entscheidende, gesetzlich gewährleistete Funktion der Mitglieder in der Betätigung des Vereins praktisch zur Bedeutungslosigkeit herabgedrückt. Hieran ändert die Behauptung, der klagende Verband Archimedes verfolge ähnliche Zwecke wie der Verein Hilfskasse, nichts. Sie ist übrigens zum grössten Teil unrichtig, wie ein Vergleich der Statuten des Verbandes Archimedes und der Hilfskasse zeigt. Art. 12 der Statuten der Hilfskasse besagt bedeutend mehr als die Einräumung blosser Gründervorteile, ohne dass auf die weiteren statutarischen Bindungen des Beklagten an die Gründerparteien eingegangen zu werden braucht. Die Wirksamkeit von Art. 12 der Statuten BGE 97 II 108 S. 115 würde die Bevormundung des beklagten Vereins, den Verzicht auf die Freiheit der Entscheidung und damit die Aufgabe des Selbstbestimmungsrechts bedeuten. Der Standpunkt des Klägers, es bestehe kein Bedürfnis danach, sachlich begründete Selbstbeschränkungen zu verbieten und die Vereinsautonomie in dieser Weise in Fesseln zu legen, erscheint in diesem Zusammenhang geradezu als abwegig. Eine solche Abhängigkeit von Dritten bedeutet eine unzulässige Knebelung des Vereins und damit einen Verstoss gegen die guten Sitten (RGR-Komm. zum BGB, a.a.O.). Art. 12 der Statuten der Hilfskasse ist demnach nichtig und das Vetorecht des Klägers unbeachtlich.</w:t>
      </w:r>
    </w:p>
    <w:p>
      <w:r>
        <w:rPr>
          <w:b/>
        </w:rPr>
        <w:t>E. 4</w:t>
      </w:r>
    </w:p>
    <w:p>
      <w:r>
        <w:t>Der Kläger beruft sich demgegenüber auf den Umstand, dass die Generalversammlung des beklagten Vereins am 24. August 1967 ausdrücklich beschlossen hat, das Einspracherecht der Gründerparteien gegenüber der vorgesehenen Leistung an das Abend-Technikum vorzubehalten und Art. 12 der Statuten zu beachten. Er will daraus ableiten, dass der fragliche Beschluss der Generalversammlung ein bedingter und daher nie rechtswirksam geworden sei. Die Frage der Rechtsgültigkeit von Art. 12 der Statuten stelle sich deshalb im vorliegenden Prozess gar nicht. Die Ausführungen der Vorinstanz, mit welchen dieser Standpunkt zurückgewiesen werde, seien bundesrechtswidrig; denn sie würden gegen Art. 151 OR verstossen. Die Klage sei schon aus diesem Grunde gutzuheissen. Ein bedingungsloser Beschluss sei auch später nicht gefasst worden und wäre im Liquidationsstadium, in welches der beklagte Verein eingetreten sei, auch nicht mehr zulässig. Auch diese Berufungsbegründung geht fehl. Wie bereits dargelegt, ist die Festlegung eines uneingeschränkten Vetorechtes eines Dritten gegenüber Generalversammlungsbeschlüssen in den Vereinssatzungen als Verstoss gegen die guten Sitten nichtig (vgl. Art. 20 Abs. 1 OR ). Diese Nichtigkeit wirkt ex tunc; sie ist daher absolut und total (BECKER, Kommentar, N. 8 ff., insbesondere N. 9 und 10 zu Art. 20 OR ). Da der streitigen Statutenbestimmung unter diesen Umständen jegliche Wirkung versagt werden muss, kann sie auch keinen Einfluss auf die Rechtsgültigkeit des fraglichen Generalversammlungsbeschlusses vom 24. August 1967 ausüben, wie der Kläger glaubt. Seine Annahme beruht auf einem Trugschluss (vgl. dazu KLANG/PISKO, a.a.O., S. 61, Text vor N. 81). Sie ist auch noch aus einem weiteren Grunde abzulehnen. Kennzeichen der Bedingung, BGE 97 II 108 S. 116 namentlich auch einer vorbehaltenen Genehmigung, ist die Schaffung eines Schwebezustandes (BECKER, N. 2 und 3 zu den Vorbemerkungen zu Art. 151-157 OR ). Angesichts der Nichtigkeit von Art. 12 der Statuten kann aber gar kein Schwebeverhältnis entstehen. Unter diesen Umständen braucht nicht mehr geprüft zu werden, ob ein bedingter Generalversammlungsbeschluss nicht auch im Hinblick auf Art. 157 OR unwirksam wäre. Ebenso entfällt die Rüge des Klägers, die Ausführung des Generalversammlungsbeschlusses vom 24. August 1967 sei nicht mehr möglich, weil die Hilfskasse in das Liquidationsstadium eingetreten sei, bevor die angebliche Bedingung sich erfüllt habe. Aus dem Ausgeführten ergibt sich, dass die kantonalen Instanzen das Begehren des Klägers mit Recht abgewiesen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