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68</w:t>
      </w:r>
    </w:p>
    <w:p>
      <w:r>
        <w:t>Bundesgericht (BGE), 1971-01-01, DE</w:t>
      </w:r>
    </w:p>
    <w:p>
      <w:r>
        <w:rPr>
          <w:b/>
        </w:rPr>
        <w:t xml:space="preserve">Quelle: </w:t>
      </w:r>
      <w:r>
        <w:t>https://mcp.opencaselaw.ch/entscheid/bge_BGE_97_III_68</w:t>
      </w:r>
    </w:p>
    <w:p>
      <w:r>
        <w:t>FR: ATF 97 III 68</w:t>
      </w:r>
    </w:p>
    <w:p>
      <w:r>
        <w:t>IT: DTF 97 III 68</w:t>
      </w:r>
    </w:p>
    <w:p>
      <w:pPr>
        <w:pStyle w:val="Heading2"/>
      </w:pPr>
      <w:r>
        <w:t>Regeste</w:t>
      </w:r>
    </w:p>
    <w:p>
      <w:r>
        <w:t>Regeste Verwertung von Anteilen an Gemeinschaftsvermögen. Art. 132 SchKG. Ist das auf Verwertung eines gepfändeten Anteils an einer unverteilten Erbschaft gerichtete Verfahren bereits in Gang gesetzt worden, so ist es später im Hinblick auf die Verwertung des gleichen Anteils in einer andern Betreibung nicht zu wiederholen. Es genügt, wenn das Betreibungsamt der bei der Erbteilung mitwirkenden Behörde den neuen Gläubiger meldet. Art. 127 SchKG kann auch zur Anwendung gelangen, wenn bereits einzelne der gepfändeten Gegenstände verwertet worden sind. Dies gilt selbst dann, wenn die durchgeführte Teilverwertung bereits längere Zeit zurückliegt.</w:t>
      </w:r>
    </w:p>
    <w:p>
      <w:r>
        <w:t>Regeste Réalisation de parts dans une communauté. Art. 132 LP. Si la procédure de réalisation d'une part saisie dans une succession non partagée a déjà été mise en oeuvre, elle nepeut être renouvelée dans une autre poursuite, pour la réalisation de la même part. Il suffit que l'office des poursuites annonce le nouveau créancier à l'autorité qui intervient au partage de la succession. L'art. 127 LP est également applicable lorsque quelques-uns des objets saisis ont déjà été réalisés, et cela même si la réalisation partielle a eu lieu depuis un certain temps déjà.</w:t>
      </w:r>
    </w:p>
    <w:p>
      <w:r>
        <w:t>Regesto Realizzazione di quote in una comunione. Art. 132 LEF. Se la procedura di realizzazione di una quota pignorata in una eredità indivisa è già stata promossa, essa non può essere rinnovata in un'altra esecuzione, per la realizzazione della stessa quota. Basta che l'ufficio di esecuzione annunci il nuovo creditore all'autorità che interviene nella divisione dell'eredità. Art. 127 LEF. Esso è pure applicabile quando taluni oggetti pignorati sono già stati realizzati, e ciò anche se la parziale realizzazione è stata effettuata già da un certo tempo.</w:t>
      </w:r>
    </w:p>
    <w:p>
      <w:pPr>
        <w:pStyle w:val="Heading2"/>
      </w:pPr>
      <w:r>
        <w:t>Erwägungen</w:t>
      </w:r>
    </w:p>
    <w:p>
      <w:r>
        <w:rPr>
          <w:b/>
        </w:rPr>
        <w:t>E. 1</w:t>
      </w:r>
    </w:p>
    <w:p>
      <w:r>
        <w:t>...</w:t>
      </w:r>
    </w:p>
    <w:p>
      <w:r>
        <w:rPr>
          <w:b/>
        </w:rPr>
        <w:t>E. 2</w:t>
      </w:r>
    </w:p>
    <w:p>
      <w:r>
        <w:t>a)... b) Der Rekurrent vertritt die Auffassung, das Betreibungsamt hätte nach Eingang des Verwertungsbegehrens in der Betreibung Nr. 63374/67 nach den speziellen Bestimmungen über die Verwertung von Anteilen an Gemeinschaftsvermögen vorgehen sollen, nachdem es dieses Begehren trotz dessen Formulierung auch auf den gepfändeten Liquidationsanteil und nicht nur auf die Position Nr. 10 bezogen habe. Er wirft der Vorinstanz in diesem Zusammenhang vor, sie habe sich mit seinen diesbezüglichen Ausführungen in seiner Rekurseingabe vom 9. August 1970 nicht auseinandergesetzt. Die Rüge des Rekurrenten ist indessen unbegründet, wie die Vorinstanz durch Verweis auf ihren Entscheid vom 19. Februar 1965 und auf den Entscheid des Bezirksgerichts vom 15. Juli 1970 zutreffend dargelegt hat. Das auf Verwertung des Erbanteils des Rekurrenten gerichtete Verfahren gemäss Art. 132 SchKG und Art. 9 VVAG war anlässlich früherer Betreibungen bereits in Gang gesetzt worden und konnte somit in dieser Betreibung nicht wiederholt werden. Entgegen der Auffassung des Rekurrenten war es vollkommen genügend, dass das Betreibungsamt der gemäss Art. 609 ZGB bei der Auflösung des Erbschaftsvermögens mitwirkenden Behörde den neuen Gläubiger meldete. Dass das Betreibungsamt nicht noch einmal die Vornahme der Teilung verlangte, bewirkte keineswegs die Nichtigkeit späterer Betreibungshandlungen. BGE 97 III 68 S. 71 Die Betreibung Nr. 63374 ist auch nicht abgelaufen oder dahingefallen, weil die Liquidation des Erbschaftsvermögens noch nicht durchgeführt werden konnte, wie in der Rekursschrift darzulegen versucht wird. Der Gläubiger war daher grundsätzlich immer noch berechtigt, im Sinne von Art. 127 SchKG auf seine Beteiligung an der Verwertung des Erbanteils zu verzichten und die Ausstellung eines Verlustscheins zu verlangen. c) Der Rekurrent wendet hiegegen allerdings ein, das Betreibungsamt hätte keinen Verlustschein ausstellen dürfen; denn Art. 127 SchKG könne nicht mehr zur Anwendung gelangen, nachdem bereits eine Verwertung stattgefunden habe. Nichts spricht indessen dagegen, Art. 127 SchKG auch zur Anwendung zu bringen, wenn bereits einzelne der gepfändeten Gegenstände verwertet worden sind. Die Voraussetzungen dieser Bestimmung können auch nur inbezug auf einen Teil oder ein einziges der Pfändungsobjekte erfüllt sein. Auch wenn die andern Gegenstände bereits verwertet worden sind, rechtfertigt es sich, von einer weitern Verwertung abzusehen, sofern zum vorneherein feststeht, dass sie nichts einbringen wird. Weder der Wortlaut noch der Sinn von Art. 127 SchKG verbieten dieses Vorgehen. Eine Besonderheit ist im vorliegenden Fall nur darin zu erblicken, dass erst lange nach der durchgeführten Teilverwertung von der Verwertung des restlichen Pfändungssubstrats abgesehen wurde, dieses aber im Zusammenhang mit andern Betreibungen doch noch verwertet werden soll. Diese Besonderheit ist jedoch eine Folge des Spezialverfahrens bei der Verwertung von Anteilen an Gemeinschaftsvermögen, das unter Umständen sehr lange Zeit in Anspruch nehmen kann. Es soll einem Gläubiger nicht verwehrt sein, auch im Laufe eines solchen Verfahrens bei Erfüllung der Voraussetzungen des Art. 127 SchKG von der Teilnahme an der Verwertung abzusehen und die Ausstellung eines Verlustscheins zu verlangen. Nachdem die Vorinstanz für das Bundesgericht verbindlich festgestellt hat, es müsse angenommen werden, dass die Verwertung des Erbanteils des Rekurrenten keinen die Pfandforderungen und die Kosten übersteigenden Erlös einbringen werde, sind die Voraussetzungen für die Anwendung von Art. 127 SchKG im vorliegenden Fall erfüllt. Das Betreibungsamt hat daher dem Gläubiger in der Betreibung Nr. 63374 zu Recht einen Verlustschein ausgestellt. Die Ausführungen des Rekurrenten vermögen hieran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