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97 III 128</w:t>
      </w:r>
    </w:p>
    <w:p>
      <w:r>
        <w:t>Bundesgericht (BGE), 1971-01-01, IT</w:t>
      </w:r>
    </w:p>
    <w:p>
      <w:r>
        <w:rPr>
          <w:b/>
        </w:rPr>
        <w:t xml:space="preserve">Quelle: </w:t>
      </w:r>
      <w:r>
        <w:t>https://mcp.opencaselaw.ch/entscheid/bge_BGE_97_III_128</w:t>
      </w:r>
    </w:p>
    <w:p>
      <w:r>
        <w:t>FR: ATF 97 III 128</w:t>
      </w:r>
    </w:p>
    <w:p>
      <w:r>
        <w:t>IT: DTF 97 III 128</w:t>
      </w:r>
    </w:p>
    <w:p>
      <w:pPr>
        <w:pStyle w:val="Heading2"/>
      </w:pPr>
      <w:r>
        <w:t>Regeste</w:t>
      </w:r>
    </w:p>
    <w:p>
      <w:r>
        <w:t>Regeste Nachlassverfahren einer Bank. 1. Die Bank ist legitimiert, vor der Beschwerdeinstanz eine Verfügung des Sachwalters anzufechten, durch die sie angewiesen wird, die Treuhandkonten nicht freizugeben (Erw. 1). 2. Entsprechend der für den Konkurs geltenden Regelung ist es Sache des Zivilrichters, darüber zu befinden, welche Vermögensstücke zur Vermögensmasse der Bank gehören und welche von Dritten herausverlangt werden können (Erw. 2).</w:t>
      </w:r>
    </w:p>
    <w:p>
      <w:r>
        <w:t>Regeste Concordat d'une banque. 1. La banque a qualité pour attaquer devant l'autorité de recours une décision du commissaire qui lui donne l'ordre de ne pas libérer les comptes fiduciaires (consid. 1). 2. Conformément à ce qui se passe en cas de faillite, il appartient au juge civil de décider quels sont les biens qui entrent dans la masse de la banque et ceux qui, au contraire, peuvent être revendiqués par des tiers (consid. 2).</w:t>
      </w:r>
    </w:p>
    <w:p>
      <w:r>
        <w:t>Regesto Concordato di una banca. 1. Veste della banca per impugnare davanti all'autorità di ricorso una decisione del commissario che le dà ordine di non liberare i conti fiduciari (consid. 1). 2. Analogamente a quanto avviene per il fallimento, spetta al giudice civile decidere quali sono i beni che rientrano nella massa patrimoniale della banca, e quali sono i beni che, al contrario. possono essere rivendicati dai terzi (consid. 2).</w:t>
      </w:r>
    </w:p>
    <w:p>
      <w:pPr>
        <w:pStyle w:val="Heading2"/>
      </w:pPr>
      <w:r>
        <w:t>Erwägungen</w:t>
      </w:r>
    </w:p>
    <w:p>
      <w:r>
        <w:rPr>
          <w:b/>
        </w:rPr>
        <w:t>E. 1</w:t>
      </w:r>
    </w:p>
    <w:p>
      <w:r>
        <w:t>Con la decisione del 13 luglio 1971 il commissario del concordato aveva dato ordine alla Banca Vallugano SA di non liberare i conti fiduciari litigiosi. Destinataria di quella misura, che la colpiva nei suoi interessi, la Banca aveva senza dubbio veste per impugnare la decisione commissariale davanti all'istanza di ricorso (art. 53 Regolamento d'esecuzione della legge federale sulle banche e le casse di risparmio, del 30 agosto 1961; RU 82 III 134/135; JAEGER, Commentario, N. 1 all' art. 298 LEF ). La sentenza della Camera civile, che ha ammesso tale legittimazione, è quindi ineccepibile su questo punto. Al presente gravame sono applicabili le norme generali stabilite per i ricorsi contro le decisioni delle autorità cantonali di vigilanza in materia di esecuzione e fallimenti, con la precisazione che le decisioni dell'autorità dei concordati possono essere impugnate anche per inadeguatezza ( art. 53 cpv. 2 del citato regolamento).</w:t>
      </w:r>
    </w:p>
    <w:p>
      <w:r>
        <w:rPr>
          <w:b/>
        </w:rPr>
        <w:t>E. 2</w:t>
      </w:r>
    </w:p>
    <w:p>
      <w:r>
        <w:t>A sostegno del gravame la ricorrente adduce in sostanza di non essere divenuta proprietaria a titolo fiduciario dei conti litigiosi: in realtà, ci si troverebbe in presenza di un normale contratto di mandato, in virtù del quale i crediti acquisiti dal mandatario nei confronti di terzi passano direttamente, giusta l' art. 401 cpv. 1 CO , al mandante. Ma anche nel caso in cui si volesse ammettere l'esistenza di un rapporto di fiducia, l' art. 401 CO dovrebbe secondo la ricorrente trovare applicazione analogetica, in quanto esso solo assicura la soluzione più adeguata e più equa. L'esame di queste argomentazioni, e delle altre addotte per BGE 97 III 128 S. 130 giustificare la liberazione dei valori litigiosi, presuppone tuttavia che questa Camera possa nella presente procedura decidere sulla natura giuridica e gli effetti del rapporto esistente tra la banca e i suoi clienti. Ciò non è però il caso. Nel fallimento, spetta al giudice ordinario statuire sulle contestazioni dei terzi relative all'appartenenza alla massa di cose, crediti o diritti (JAEGER, op.cit., N. 1 in fine all' art. 197 LEF ): sono infatti i tribunali ordinari a dover decidere in modo definitivo quali sono i beni che, come patrimonio del fallito, rientrano nella massa, e quali sono quelli che, al contrario, possono essere rivendicati dai terzi (JAEGER, op.cit., N. 4 lett. C all' art. 197 LEF ). La stessa delimitazione dei compiti dell'autorità di vigilanza, rispettivamente del giudice ordinario, vale per la normale procedura concordataria disciplinata nella LEF: anche in tale materia alle autorità di vigilanza è sottratto infatti l'esame delle pretese attinenti al diritto civile (RU 82 III 136). In un caso di moratoria accordata ad una banca giusta l'art. 29 della LBCR, il Tribunale federale ha statuito nel medesimo senso (v. RU 91 III 109). Gli stessi principi debbono evidentemente essere applicati anche nella procedura di concordato bancario. Da una parte, infatti, non si vede per quali motivi si dovrebbe in un simile caso decidere diversamente; dall'altra, va rilevato che una vertenza la quale, come la presente, solleva delicate questioni giuridiche e rende eventualmente necessario un ulteriore chiarimento dei fatti, dev'essere, correttamente e secondo la sua natura, trattata e decisa nella procedura giudiziaria ordinaria. Gli stessi argomenti svolti dalla ricorrente nel presente gravame mostrano del resto chiaramente quanto complessa e delicata sia la situazione giuridica posta alla base della lite. Ora, la procedura di reclamo, rispettivamente di ricorso, non offre le necessarie garanzie per una soluzione adeguata e definitiva dei quesiti sollevati. Motivi pratici, in particolare motivi di economia processuale, debbono retrocedere di fronte alle suddette considerazioni. Non a torto, del resto, la precedente istanza osserva che una sua decisione sul merito della vertenza non impedirebbe alla ricorrente di adire nel contempo il giudice civile, con il conseguente rischio di giudizi contraddittori. L'intervento dell'autorità di vigilanza può essere tutt'al più giustificato qualora la decisione del commissario si riveli manifestamente insostenibile (RU 82 III BGE 97 III 128 S. 131 136, 91 III 109): ma un simile caso non si avvera in concreto, giusta quanto correttamente osserva la Corte cantonale.</w:t>
      </w:r>
    </w:p>
    <w:p>
      <w:r>
        <w:rPr>
          <w:b/>
        </w:rPr>
        <w:t>E. 3</w:t>
      </w:r>
    </w:p>
    <w:p>
      <w:r>
        <w:t>Per il presente giudizio non vengono prelevate spese (v. il decreto del Tribunale federale, del 26 luglio 1971, che modifica quello concernente la procedura del concordato per le banche e le casse di risparmio, pubblicato in RU 1971, p. 1176). Dispositiv Il Tribunale federale pronuncia: Il ricorso è respinto.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