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88</w:t>
      </w:r>
    </w:p>
    <w:p>
      <w:r>
        <w:t>Bundesgericht (BGE), 1970-01-01, DE</w:t>
      </w:r>
    </w:p>
    <w:p>
      <w:r>
        <w:rPr>
          <w:b/>
        </w:rPr>
        <w:t xml:space="preserve">Quelle: </w:t>
      </w:r>
      <w:r>
        <w:t>https://mcp.opencaselaw.ch/entscheid/bge_BGE_96_I_88</w:t>
      </w:r>
    </w:p>
    <w:p>
      <w:r>
        <w:t>FR: ATF 96 I 88</w:t>
      </w:r>
    </w:p>
    <w:p>
      <w:r>
        <w:t>IT: DTF 96 I 88</w:t>
      </w:r>
    </w:p>
    <w:p>
      <w:pPr>
        <w:pStyle w:val="Heading2"/>
      </w:pPr>
      <w:r>
        <w:t>Regeste</w:t>
      </w:r>
    </w:p>
    <w:p>
      <w:r>
        <w:t>Regeste Art. 49 Ziff. 3 StGB; 100 lit. f OG. Der Entscheid auf Umwandlung einer nichtbezahlten Busse in Haft kann nicht mit der Verwaltungsgerichtsbeschwerde angefochten werden.</w:t>
      </w:r>
    </w:p>
    <w:p>
      <w:r>
        <w:t>Regeste Art. 49 ch. 3 CP et 100 litt. f OJ. La décision convertissant en arrêts une amende non payée ne peut pas faire l'objet d'un recours de droit administratif.</w:t>
      </w:r>
    </w:p>
    <w:p>
      <w:r>
        <w:t>Regesto Art. 49 num. 3 CP e 100 lett. f OG. La decisione di commutazione in arresto di una multa impagata non è impugnabile con ricorso di diritto amministrativo.</w:t>
      </w:r>
    </w:p>
    <w:p>
      <w:pPr>
        <w:pStyle w:val="Heading2"/>
      </w:pPr>
      <w:r>
        <w:t>Erwägungen</w:t>
      </w:r>
    </w:p>
    <w:p>
      <w:r>
        <w:rPr>
          <w:b/>
        </w:rPr>
        <w:t>E. 1</w:t>
      </w:r>
    </w:p>
    <w:p>
      <w:r>
        <w:t>Die Vorbringen des Beschwerdeführers laufen zur Hauptsache auf die Rüge der Verletzung des rechtlichen Gehörs hinaus, so wenn Walther geltend macht, es sei ihm die Akteneinsicht und die Teilnahme an einer Hauptverhandlung verweigert worden, an welcher er sich mündlich hätte rechtfertigen und durch einen Anwalt verteidigen lassen können. Verstösse BGE 96 I 88 S. 90 gegen Art. 4 BV können, wie alle Verletzungen von Bundesrecht ( Art. 104 lit. a OG ), mit der Verwaltungsgerichtsbeschwerde geltend gemacht werden, sofern die sachliche Zuständigkeit des Bundesgerichtes als Verwaltungsgerichtshof überhaupt gegeben ist (GYGI, Verwaltungsrechtspflege und Verwaltungsverfahren im Bund, S. 133 N. 3.2). Diese Voraussetzung ist, wo verfassungsmässige Rechte in Frage stehen, erfüllt, wenn die gerügte Verletzung mit einer Sache zusammenhängt, die an sich nach den Vorschriften der Art. 97 ff. OG Streitgegenstand des verwaltungsgerichtlichen Beschwerdeverfahrens sein könnte (GYGI, a.a.O., S. 133 N. 3.2 und S. 134 N. 3.4). An einem solchen Sachzusammenhang zwischen dem gerügten Verstoss gegen Art. 4 BV und einer Bundesverwaltungsstreitsache fehlt es im vorliegenden Fall. Nach Art. 100 lit. f OG ist die Verwaltungsgerichtsbeschwerde unzulässig gegenüber Verfügungen auf dem Gebiete der Strafverfolgung. Darunter fallen nach der Entwicklungsgeschichte dieser Bestimmung alle Verfügungen auf dem Gebiete des Strafrechtes - und zwar auch des Verwaltungsstrafrechtes - sowie des Strafverfahrens, die nicht den Strafvollzug betreffen (BBl 1965 II 1309ff.); es ist nicht Sache der Verwaltungsgerichtsbarkeit, Lücken des Rechtsschutzes auf dem Gebiete des Strafverfahrens zu schliessen (Prot. Komm. NatR vom 17./18. Januar 1966, S. 41 Votum Imboden). Da nach ständiger Rechtsprechung des Kassationshofes der vom Richter ausgehende Beschluss, mit welchem eine Busse in Haft umgewandelt wird, keine Vollzugsmassnahme, sondern einen das Bussenurteil ergänzenden materiellen Entscheid darstellt ( BGE 74 IV 60 mit Verweisungen), kann das Verfahren, das zu diesem Entscheid führt, seinerseits kein Vollzugsverfahren sein. Dann aber können auch diesem Verfahren anhaftende Mängelnicht mit der Verwaltungsgerichtsbeschwerde wegen Verletzung von Art. 4 BV gerügt werden.</w:t>
      </w:r>
    </w:p>
    <w:p>
      <w:r>
        <w:rPr>
          <w:b/>
        </w:rPr>
        <w:t>E. 2</w:t>
      </w:r>
    </w:p>
    <w:p>
      <w:r>
        <w:t>Ist demnach die Eingabe des Beschwerdeführers vom 6. Januar 1970 als Verwaltungsgerichtsbeschwerde unzulässig, so kann sie als staatsrechtliche Beschwerde entgegengenommen werden, sofern sie den formellen Anforderungen der Art. 87 ff. OG genügt; denn eine unrichtige Bezeichnung des Rechtsmittels schadet nicht ( BGE 71 III 195 , BGE 92 II 132 ). Die staatsrechtliche Beschwerde wegen Verletzung von Art. 4 BV ist gemäss Art. 87 OG erst zulässig, nachdem von den kantonalen Rechtsmitteln Gebrauch gemacht worden ist. Dazu gehört nach feststehender Rechtsprechung auch die Ergreifung BGE 96 I 88 S. 91 ausserordentlicher kantonaler Rechtsmittel, mit denen die gerügte Verfassungsverletzung geltend gemacht werden kann ( BGE 90 I 204 , BGE 89 I 126 mit Verweisungen). Im vorliegenden Falle hätte der Beschwerdeführer die Rüge der Verletzung des rechtlichen Gehörs gemäss Art. 32 ff. Schaffhauser StPO innert 10 Tagen, nachdem ihm der Beschluss des Kantonsgerichtes bekanntgegeben worden war, mit dem ausserordentlichen Rechtsmittel der Beschwerde beim kantonalen Obergericht anbringen können. Das hat er nicht getan. Auf die staatsrechtliche Beschwerde ist daher insoweit mangels Erschöpfung des kantonalen Instanzenzuges nicht einzutreten.</w:t>
      </w:r>
    </w:p>
    <w:p>
      <w:r>
        <w:rPr>
          <w:b/>
        </w:rPr>
        <w:t>E. 3</w:t>
      </w:r>
    </w:p>
    <w:p>
      <w:r>
        <w:t>Walther macht schliesslich noch eine Verletzung von Art. 49 Ziff. 3 Abs. 2 StGB geltend. Auch mit diesem Vorbringen ist er nicht zu hören. Die genannte Rüge hätte mit der Nichtigkeitsbeschwerde an den Kassationshof des Bundesgerichtes erhoben werden müssen ( BGE 74 IV 60 ), die jedoch weder mit der Verwaltungsgerichtsbeschwerde noch mit der staatsrechtlichen Beschwerde in einer einzigen Eingabe vereinigt werden kann ( BGE 89 IV 27 ). Abgesehen davon wäre die vom 6. Januar 1970 datierte Rechtsschrift als Nichtigkeitsbeschwerde ohnehin verspätet, nachdem der Beschluss des Kantonsgerichtes dem Beschwerdeführer am 5. Dezember 1969 eröffnet worden ist. Dispositiv Demnach erkennt der Kassationshof: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