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598</w:t>
      </w:r>
    </w:p>
    <w:p>
      <w:r>
        <w:t>Bundesgericht (BGE), 1970-01-01, DE</w:t>
      </w:r>
    </w:p>
    <w:p>
      <w:r>
        <w:rPr>
          <w:b/>
        </w:rPr>
        <w:t xml:space="preserve">Quelle: </w:t>
      </w:r>
      <w:r>
        <w:t>https://mcp.opencaselaw.ch/entscheid/bge_BGE_96_I_598</w:t>
      </w:r>
    </w:p>
    <w:p>
      <w:r>
        <w:t>FR: ATF 96 I 598</w:t>
      </w:r>
    </w:p>
    <w:p>
      <w:r>
        <w:t>IT: DTF 96 I 598</w:t>
      </w:r>
    </w:p>
    <w:p>
      <w:pPr>
        <w:pStyle w:val="Heading2"/>
      </w:pPr>
      <w:r>
        <w:t>Regeste</w:t>
      </w:r>
    </w:p>
    <w:p>
      <w:r>
        <w:t>Regeste Legitimation zur staatsrechtlichen Beschwerde. Art. 88 OG. Der durch eine strafbare Handlung Geschädigte kann mit der staatsrechtlichen Beschwerde gegen die Einstellung der Strafuntersuchung geltend machen, die ihm durch das kantonale Recht eingeräumten Parteirechte seien verletzt worden, nicht dagegen, die Einstellungsverfügung beruhe auf willkürlicher Beweiswürdigung oder Rechtsanwendung (Bestätigung der Rechtsprechung).</w:t>
      </w:r>
    </w:p>
    <w:p>
      <w:r>
        <w:t>Regeste Qualité pour former un recours de droit public. Art. 88 OJ. La personne lésée par une infraction pénale peut faire valoir, par la voie du recours de droit public contre une décision de non-lieu, que les droits qui lui compètent en sa qualité de partie en vertu du droit cantonal ont été violés; en revanche, elle ne peut soutenir que la décision de non-lieu repose sur une appréciation arbitraire des preuves ou sur une application arbitraire de la loi (confirmation de la jurisprudence).</w:t>
      </w:r>
    </w:p>
    <w:p>
      <w:r>
        <w:t>Regesto Veste per interporre un ricorso di diritto pubblico. Art. 88 OG. La persona lesa da un'infrazione penale può far valere, attraverso la via del ricorso di diritto pubblico interposto contro un giudizio di sospensione, la violazione di diritti che in virtù del diritto cantonale le competono in qualità di parte; invece non può addurre che la decisione di sospensione poggia su una valutazione arbitraria delle prove o su una applicazione arbitraria della legge (conferma della giurisprudenza).</w:t>
      </w:r>
    </w:p>
    <w:p>
      <w:pPr>
        <w:pStyle w:val="Heading2"/>
      </w:pPr>
      <w:r>
        <w:t>Erwägungen</w:t>
      </w:r>
    </w:p>
    <w:p>
      <w:r>
        <w:rPr>
          <w:b/>
        </w:rPr>
        <w:t>E. 2</w:t>
      </w:r>
    </w:p>
    <w:p>
      <w:r>
        <w:t>Der Beschwerdeführer ist, als Vater und Erbe des tödlich Verunfallten, durch die angeblich strafbare Handlung des Beschwerdegegners geschädigt. Es fragt sich, inwieweit er legitimiert ist, gegen die Einstellung der Strafuntersuchung staatsrechtliche Beschwerde zu erheben. a) Das Bundesgericht ist während Jahrzehnten auf staatsrechtliche Beschwerden, die der Geschädigte gegen die Einstellung des Strafverfahrens oder gegen ein freisprechendes Urteil erhoben hat, eingetreten. Im Jahre 1943 änderte es seine Rechtsprechung und sprach seither dem Geschädigten die Legitimation zu solchen Beschwerden ab ohne Rücksicht auf die Stellung, die ihm das kantonale Recht im Strafverfahren einräumte. Nachdem es in BGE 94 I 554 E. 1 die Frage einer Änderung dieser Rechtsprechung aufgeworfen, aber offen gelassen hatte, hat es in späteren unveröffentlichten Urteilen die Legitimation des Geschädigten mit den in Erw. 2 jenes Urteils gemachten Ausnahmen weiterhin verneint. An dieser Rechtsprechung ist festzuhalten. Sozusagen alle kantonalen Strafprozessordnungen räumen zwar dem Geschädigten neben dem Recht, sich zur Wahrung seiner privatrechtlichen Ansprüche am Strafverfahren zu beteiligen, Befugnisse ein, die auch, ja in erster Linie der Durchsetzung des Strafverfolgungsinteresses dienen. Trotz diesen BGE 96 I 598 S. 600 Befugnissen, die PFENNINGER (Der Verletzte im schweiz. Strafverfahren, SJZ 1960 S. 185) im einzelnen aufzählt und unter der Bezeichnung "Recht zur Kontrolle der Strafuntersuchung" zusammenfasst, wird jedoch in der Rechtslehre überwiegend angenommen, dass das private Verfolgungsbedürfnis des Geschädigten rechtlich unerheblich sei (BAUMANN, Die Stellung des Geschädigten im schweiz. Strafprozess, Diss. Zürich 1958 S. 33 und die dort in Anm. 7 zitierte Literatur). Dem ist beizupflichten. Der Strafanspruch, um den es im Strafverfahren geht, steht ausschliesslich dem Staate zu. Das Interesse des Geschädigten, im Hinblick auf das ihm die Kantone einen mehr oder weniger weitgehenden Einfluss auf den Gang des Strafverfahrens einräumen, erscheint als ein bloss mittelbares. Die Durchführung des Strafverfahrens bis zur gerichtlichen Beurteilung erleichtert ihm vor allem die Verfolgung seiner privatrechtlichen Ansprüche, indem er entweder diese im Strafverfahren adhäsionsweise geltend machen oder aber sich in einem selbständigen Zivilprozess auf das Beweisergebnis der Strafuntersuchung berufen kann. Bei diesem Interesse des Geschädigten an der Erleichterung der Verfolgung seiner zivilrechtlichen Ansprüche wie auch bei seinem Interesse an einer gerechten Bestrafung des Täters handelt es sich um bloss tatsächliche Interessen, nicht um rechtlich erhebliche Interessen oder "Rechte", zu deren Wahrung die staatsrechtliche Beschwerde allein offen steht ( Art. 88 OG , BGE 91 I 413 E. 3 mit Hinweis auf frühere Urteile). Solche Rechte sind lediglich diejenigen, die das kantonale Recht dem Geschädigten wegen seiner Stellung als am Verfahren beteiligte Partei einräumt und deren Missachtung einer formellen Rechtsverweigerung gleich oder nahe kommt ( BGE 94 I 554 E. 2). Würde die Legitimation des Geschädigten zur staatsrechtlichen Beschwerde erweitert, so hätte dies die sachlich nicht zu rechtfertigende Folge, dass der Geschädigte Einstellungsbeschlüsse und freisprechende Urteile, gegenüber denen ihm die zu freier rechtlicher Überprüfung führende Nichtigkeitsbeschwerde an den Kassationshof nach Art. 273 BStP nicht zusteht, beim Bundesgericht mit staatsrechtlicher Beschwerde wegen willkürlicher Anwendung des Bundesrechts anfechten könnte ( BGE 69 I 19 ). Soweit mit der vorliegenden Beschwerde geltend gemacht wird, der angefochtene Einstellungsbeschluss beruhe auf willkürlicher Beweiswürdigung und Rechtsanwendung, ist daher BGE 96 I 598 S. 601 auf sie nicht einzutreten. Zu prüfen ist nur die Rüge der formellen Rechtsverweigerung.</w:t>
      </w:r>
    </w:p>
    <w:p>
      <w:r>
        <w:rPr>
          <w:b/>
        </w:rPr>
        <w:t>E. 3</w:t>
      </w:r>
    </w:p>
    <w:p>
      <w:r>
        <w:t>Der Beschwerdeführer behauptet, der angefochtene Entscheid missachte sowohl seinen unmittelbar aus Art. 4 BV folgenden Anspruch auf rechtliches Gehör als auch Art. 97 Abs. 3 sowie Art. 129 bünd. StPO. a) Weshalb der unmittelbar aus Art. 4 BV folgende Gehörsanspruch verletzt sein soll, wird in der Beschwerde nicht darzutun versucht und ist auch nicht ersichtlich. Im Strafprozess, in dem es um den staatlichen Strafanspruch geht, hat der private Geschädigte nicht unmittelbar aufgrund des Art. 4 BV das Recht, die Strafuntersuchung zu kontrollieren und zu beeinflussen. Ein Anspruch, sich am Strafverfahren zu beteiligen, steht ihm nur zu nach Massgabe des kantonalen Rechts, dessen Auslegung und Anwendung das Bundesgericht lediglich unter dem beschränkten Gesichtswinkel der Willkür überprüft. b) (Ausführungen darüber, dass die Strafuntersuchung nach Art. 82 StPO eingestellt worden ist und, wie ohne jede Willkür angenommen werden kann, Art. 97 Abs. 2 und Art. 129 Abs. 1 StPO nicht anwendbar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