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521</w:t>
      </w:r>
    </w:p>
    <w:p>
      <w:r>
        <w:t>Bundesgericht (BGE), 1970-01-01, DE</w:t>
      </w:r>
    </w:p>
    <w:p>
      <w:r>
        <w:rPr>
          <w:b/>
        </w:rPr>
        <w:t xml:space="preserve">Quelle: </w:t>
      </w:r>
      <w:r>
        <w:t>https://mcp.opencaselaw.ch/entscheid/bge_BGE_96_I_521</w:t>
      </w:r>
    </w:p>
    <w:p>
      <w:r>
        <w:t>FR: ATF 96 I 521</w:t>
      </w:r>
    </w:p>
    <w:p>
      <w:r>
        <w:t>IT: DTF 96 I 521</w:t>
      </w:r>
    </w:p>
    <w:p>
      <w:pPr>
        <w:pStyle w:val="Heading2"/>
      </w:pPr>
      <w:r>
        <w:t>Regeste</w:t>
      </w:r>
    </w:p>
    <w:p>
      <w:r>
        <w:t>Regeste Rechtsverweigerung durch überspitzten Formalismus im Strafprozess Enthält eine Rechtsmittelbelehrung hinsichtlich des im Zusammenhang mit der Berufungserklärung zu leistenden Kostenvorschusses lediglich einen Hinweis auf entsprechende gesetzliche Bestimmungen, und setzt die obere Instanz dem Rechtssuchenden, der den erforderlichen Vorschuss nicht rechtzeitig geleistet hat, keine Nachfrist an, so macht sie sich einer Rechtsverweigerung durch überspitzten Formalismus schuldig, wenn sie auf das Rechtsmittel nicht eintritt mit der Begründung, der Kostenvorschuss sei nicht vorschriftsgemäss geleistet worden.</w:t>
      </w:r>
    </w:p>
    <w:p>
      <w:r>
        <w:t>Regeste Déni de justice par excès de formalisme en procédure pénale. Lorsqu'une décision ne contient, au sujet de l'avance des frais à effectuer à l'occasion d'une déclaration de recours, qu'un simple renvoi aux dispositions légales y relatives, et que l'autorité de recours ne donne pas, au recourant qui n'a pas effectué l'avance en temps opportun, un délai supplémentaire pour s'exécuter, cette autorité commet un déni de justice par excès de formalisme si elle n'entre pas en matière pour le motif que l'avance de frais n'aurait pas été faite de façon conforme aux prescriptions.</w:t>
      </w:r>
    </w:p>
    <w:p>
      <w:r>
        <w:t>Regesto Diniego di giustizia per formalismo eccessivo nella procedura penale. Se una decisione non contiene, per quel che riguarda l'anticipo delle spese da effettuare in occasione d'una dichiarazione di ricorso, che un semplice rinvio alle disposizioni legali relative, e l'autorità di ricorso non assegna al ricorrente che ha omesso di versare l'anticipo a tempo debito, un termine supplementare per effettuarlo, questa autorità commette un diniego di giustizia per eccesso di formalismo qualora non entri nel merito del ricorso per il semplice fatto che l'anticipo non è stato versato in modo conforme alle prescrizioni.</w:t>
      </w:r>
    </w:p>
    <w:p>
      <w:pPr>
        <w:pStyle w:val="Heading2"/>
      </w:pPr>
      <w:r>
        <w:t>Erwägungen</w:t>
      </w:r>
    </w:p>
    <w:p>
      <w:r>
        <w:rPr>
          <w:b/>
        </w:rPr>
        <w:t>E. 3</w:t>
      </w:r>
    </w:p>
    <w:p>
      <w:r>
        <w:t>(Prozessuales)</w:t>
      </w:r>
    </w:p>
    <w:p>
      <w:r>
        <w:rPr>
          <w:b/>
        </w:rPr>
        <w:t>E. 4</w:t>
      </w:r>
    </w:p>
    <w:p>
      <w:r>
        <w:t>Nach der Rechtsprechung des Bundesgerichts verstösst ein durch die Praxis eingeführtes oder im Gesetz aufgestelltes Formerfordernis dann gegen Art. 4 BV , wenn es sich durch kein schutzwürdiges Interesse rechtfertigen lässt und wenn es die Durchsetzung des materiellen Rechts ohne sachlich vertretbaren Grund erschwert ( BGE 96 I 318 , BGE 95 I 4 Erw. 2 und dort angeführte frühere Urteile). Das Kreisgericht ist auf die Berufung des Beschwerdeführers mangels fristgemässer Zahlung des Kostenverschusses nicht eingetreten. In der Urteilsbegründung wird ausgeführt, Art. 188 StPO über die Vorschusspflicht bezwecke, "den Parteien die Bedeutung des Rechtsmittels einzuschärfen und sie von trölerischen oder unzweckmässigen Berufungserklärungen abzuhalten". Falls der Vorschuss nicht innert zwanzig Tagen nach Ablauf der Berufungsfrist geleistet werde, so sei auf das Rechtsmittel nach dem klaren Wortlaut der Bestimmung nicht einzutreten. Ein überspitzter Formalismus könne darin nicht erblickt werden. Das Kreisgericht beruft sich in diesem Zusammenhang auf die Rechtsprechung des Bundesgerichts. Es trifft zwar zu, dass das Bundesgericht mehrfach ausgeführt hat, prozessuale Formen seien unerlässlich, um die ordnungsgemässe und rechtsgleiche Abwicklung des Verfahrens sowie die Durchsetzung des materiellen Rechts zu gewährleisten ( BGE 95 I 4 Erw. 2 a); wird die Gültigkeit eines Rechtsmittels kraft ausdrücklicher Vorschrift von der rechtzeitigen Leistung eines Kostenvorschusses abhängig gemacht, so kann darin grundsätzlich weder ein überspitzter Formalismus noch eine Verweigerung des rechtlichen Gehörs erblickt werden (vgl. immerhin BGE 95 I 5 /6 Erw. 2 b). Voraussetzung dafür ist jedoch, dass die Parteien über die Höhe des Vorschusses, die Zahlungsfrist und die Folgen der Nichtleistung in angemessener Weise aufmerksam gemacht werden. In dieser Hinsicht erweist sich die in der Instruktionsrichterverfügung vom 10. Dezember 1969 enthaltene Rechtsmittelbelehrung als offensichtlich ungenügend. Die Parteien werden darin zwar in allgemeiner Form auf BGE 96 I 521 S. 524 die Vorschusspflicht hingewiesen, doch wird weder die Höhe des Vorschusses angezeigt, noch wird eine Zahlungsfrist gesetzt, noch werden für den Fall der Nichtleistung irgendwelche prozessuale Folgen angedroht. Der Hinweis auf Art. 188 StPO und auf Art. 40 GerichtskostenD vermag entsprechende konkrete Angaben nicht zu ersetzen. Es darf dem Rechtssuchenden nicht zugemutet werden, sich anlässlich der Berufungserklärung noch einen Gerichtskostentarif zu beschaffen oder zuständigenorts nähere Auskünfte einzuholen, um in jedem Fall fristgerecht den erforderlichen Vorschuss leisten zu können. Diese Erschwerung, welche namentlich den ausserkantonalen Rechtssuchenden erheblichen prozessualen Risiken aussetzt, dient nicht mehr dazu, die Parteien von trölerischen oder unzweckmässigen Berufungen abzuhalten, sondern wird zum blossen Selbstzweck und ist geeignet, sowohl die Wahrheitsfindung wie auch die Ausübung der Verteidigungsrechte ohne sachlich vertretbare Gründe zu hindern. In einer Rechtsmittelbelehrung, wie sie in der Instruktionsrichterverfügung vom 10. Dezember 1969 enthalten ist, muss demnach eine eigentliche Prozessfalle erblickt werden, die jedem gestellt ist, der nicht über Erfahrung im Gerichtswesen des Kantons Wallis verfügt. Sie trifft nicht nur denjenigen, der unüberlegt oder trölerhaft ein Rechtsmittel einlegt, sondern den prozessrechtlich Unerfahrenen schlechthin und erweist sich daher als verfassungswidrig. Die in Frage stehende Rechtsmittelbelehrung hätte im übrigen unschwer in einer Weise abgefasst werden können, dass bei den Parteien keinerlei Zweifel über die Höhe des Vorschusses, die Zahlungsfrist und die Folgen der Nichtleistung hätten bestehen können. Wie das Bundesgericht in BGE 95 I 4 ff. festgestellt hat, vermag eine Vorschusspflicht im Rechtsmittelverfahren den ihr innewohnenden legitimen Zweck auch dann zu erfüllen, wenn der säumigen Partei eine kurze Nachfrist angesetzt wird. Ein solches Vorgehen drängt sich umso mehr auf, wenn der Rechtssuchende in der Rechtsmittelbelehrung - wie im vorliegenden Fall - über die Höhe des Vorschusses, die Zahlungsfrist und die Säumnisfolgen weitgehend im Unklaren gelassen worden ist. Der Grundsatz von Treu und Glauben, den es auch im formstrengen Prozess zu beachten gilt, erheischt, dass dem Säumigen in derartigen Fällen Gelegenheit gegeben wird, seine Zahlung nachzuholen. Damit wird die ordnungsgemässe Abwicklung des BGE 96 I 521 S. 525 Verfahrens in keiner Weise in Frage gestellt. - Dass das Kantonsgericht Wallis im Berufungsfall Holzer (Urteil vom 20. Januar 1970) mit Rücksicht auf die soeben angestellten Überlegungen und auf die neuere bundesgerichtliche Rechtsprechung eine derartige Nachfrist gewährte, hätte das Kreisgericht Oberwallis im übrigen veranlassen müssen, im vorliegenden Fall ebenso zu verfahren. Im Vorgehen des Kreisgerichts Oberwallis ist somit nach dem Gesagten eine Rechtsverweigerung durch überspitzten Formalismus zu erblicken. Die Beschwerde ist daher gutzuheissen und der angefochtene Entscheid vom 22. Mai 1970 wegen Verletzung von Art. 4 BV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