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433</w:t>
      </w:r>
    </w:p>
    <w:p>
      <w:r>
        <w:t>Bundesgericht (BGE), 1970-10-07, DE</w:t>
      </w:r>
    </w:p>
    <w:p>
      <w:r>
        <w:rPr>
          <w:b/>
        </w:rPr>
        <w:t xml:space="preserve">Quelle: </w:t>
      </w:r>
      <w:r>
        <w:t>https://mcp.opencaselaw.ch/entscheid/bge_BGE_96_I_433</w:t>
      </w:r>
    </w:p>
    <w:p>
      <w:r>
        <w:t>FR: ATF 96 I 433</w:t>
      </w:r>
    </w:p>
    <w:p>
      <w:r>
        <w:t>IT: DTF 96 I 433</w:t>
      </w:r>
    </w:p>
    <w:p>
      <w:pPr>
        <w:pStyle w:val="Heading2"/>
      </w:pPr>
      <w:r>
        <w:t>Regeste</w:t>
      </w:r>
    </w:p>
    <w:p>
      <w:r>
        <w:t>Regeste Art. 4 BV; Missachtung von Vorschriften eines Gesamtarbeitsvertrags. Eine gesamtarbeitsvertragliche Bestimmung, wonach bei der Berechnung der vereinbarten periodischen Lohnerhöhungen vom tatsächlich bezahlten Gehalt auszugehen ist, hat normative Wirkung; ihre Missachtung stellt eine Verletzung von klarem Recht und damit einen Verstoss gegen Art. 4 BV dar.</w:t>
      </w:r>
    </w:p>
    <w:p>
      <w:r>
        <w:t>Regeste Art. 4 Cst.; violation des prescriptions d'un contrat collectif de travail. La disposition d'un contrat collectif de travail, prévoyant que les augmentations contractuelles doivent être calculées sur la base du salaire effectivement versé, a un caractère normatif. La décision qui n'en tient pas compte viole un droit certain et n'est pas compatible avec l'art. 4 Cst.</w:t>
      </w:r>
    </w:p>
    <w:p>
      <w:r>
        <w:t>Regesto Art. 4 CF; violazione delle prescrizioni di un contratto collettivo di lavoro. La disposizione di un contratto collettivo di lavoro, secondo cui nel calcolo dei periodici aumenti salariali pattuiti bisogna basarsi sul salario effettivamente versato, ha un carattere normativo. La decisione che non ne tiene conto viola pertanto un diritto certo e non si concilia con l'art. 4 CF.</w:t>
      </w:r>
    </w:p>
    <w:p>
      <w:pPr>
        <w:pStyle w:val="Heading2"/>
      </w:pPr>
      <w:r>
        <w:t>Erwägungen</w:t>
      </w:r>
    </w:p>
    <w:p>
      <w:r>
        <w:rPr>
          <w:b/>
        </w:rPr>
        <w:t>E. 5</w:t>
      </w:r>
    </w:p>
    <w:p>
      <w:r>
        <w:t>Das Gerichtspräsidium Höfe kam aufgrund einer Vergleichsrechnung zum Schluss, die dem Beschwerdeführer tatsächlich gewährten Lohnerhöhungen überstiegen den Gesamtbetrag der Lohnanpassungen, welche ihm nach den gesamtarbeitsvertraglichen Mindestansätzen zugestanden hätten. Der Beschwerdeführer macht geltend, bei der Festsetzung der nach GAV geschuldeten Lohnerhöhungen sei kraft ausdrücklicher Vorschrift (Art. 13 Abs. 1 GAV) vom effektiv bezahlten Gehalt auszugehen. Die Berechnungen, welche vom Gerichtspräsidium Höfe angestellt und von der Justizkommission geschützt worden seien, ständen im Widerspruch zu dieser BGE 96 I 433 S. 436 Bestimmung; sie beruhten mithin auf einer Verletzung von klarem Recht, weshalb die angefochtenen Entscheide wegen Willkür aufzuheben seien. a) Die Bestimmungen des GAV über den Inhalt der einzelnen Dienstverhältnisse gelten während der Dauer des Vertrags unmittelbar für die beteiligten Parteien und können nicht wegbedungen werden, wenn im GAV nichts anderes bestimmt ist. Abreden zwischen den beteiligten Arbeitgebern und Arbeitnehmern, die gegen zwingende Vorschriften verstossen, sind nichtig und werden durch die Bestimmungen des GAV ersetzt; doch können abweichende Abreden zugunsten der Arbeitnehmer getroffen werden ( Art. 323 OR ). Art. 13 GAV hat normative Wirkung; die Bestimmung sieht vor, dass bei der Berechnung der Gehaltserhöhungen vom effektiven Lohn auszugehen ist. Wortlaut und Sinn der Vorschrift sind klar; die Missachtung von Art. 13 GAV stellt somit einen Verstoss gegen klares Recht und damit eine Verletzung von Art. 4 BV dar (vgl. BGE 93 I 262 /3 mit Verweisungen). b) Wie in Erw. 4 dargelegt wurde, darf im vorliegenden Fall ohne Willkür davon ausgegangen werden, die laut GAV auf 1. Januar 1964 fällige Gehaltserhöhung sei im Anfangslohn von Fr. 1000.-- inbegriffen gewesen. Die Bezüge des Beschwerdeführers hätten somit nach den Vorschriften des GAV erstmals auf Juli 1964 erhöht werden müssen, und zwar um Fr. 20.- pro Monat. Auf April 1965 hätte der Beschwerdeführer unbestrittenermassen Anspruch auf eine weitere Lohnerhöhung von Fr. 40.- pro Monat gehabt. Bis zu diesem Zeitpunkt ergibt sich somit für die Vergleichsrechnung ein Guthaben des Beschwerdeführers von Fr. 180.-- (Juli 1964 bis März 1965, 9 x Fr. 20.-). Nach dem Gesagten hätte dem Beschwerdeführer vom April 1965 an ein Monatslohn von Fr. 1060.-- zugestanden. Auf diesen Zeitpunkt kam er jedoch in den Genuss einer tatsächlichen Lohnerhöhung von Fr. 100.-- pro Monat, d.h. er bezog vom April 1965 an Fr. 1100.-- pro Monat, mit anderen Worten Fr. 40.- mehr, als ihm nach den Minimalansätzen laut GAV zugestanden hätte. Wohl lässt sich ohne Willkür annehmen, mit dieser effektiven Lohnerhöhung seien die Parteien für die Vergleichsrechnung bis zum April 1965 auseinandergesetzt, denn die zu diesem Zeitpunkt bestehende Nachforderung des Beschwerdeführers von Fr. 180.-- wäre durch die Ausrichtung des den gesamtarbeitsvertraglichen BGE 96 I 433 S. 437 Minimalansatz um Fr. 40.- übersteigenden Gehalts innerhalb weniger Monate getilgt worden. Unhaltbar ist jedoch der Schluss, damit bleibe die für September 1965 laut GAV vorgesehene Lohnerhöhung von Fr. 40.- pro Monat (von Fr. 1060.-- auf Fr. 1100.--) unbeachtlich, da der Beschwerdeführer zu dieser Zeit bereits den ihm nach GAV zustehenden Minimallohn erhalten habe. Art. 13 GAV sieht ausdrücklich vor, dass sich die periodischen Gehaltserhöhungen auf den effektiv bezahlten Lohn zu beziehen haben. Es geht nicht an, eine über das geforderte Mindestmass hinausgehende Lohnerhöhung auf künftige gesamtarbeitsvertragliche Gehaltsanpassungen anzurechnen. Die entgegengesetzte Auffassung des Gerichtspräsidiums Höfe und der Justizkommission des Kantons Schwyz steht mithin im Widerspruch zum klaren Wortlaut von Art. 13 GAV und verletzt demnach klares Recht; die Beschwerde ist daher gutzuheissen, und die angefochtenen Entscheide sind aufzuheben. In der Vergleichsrechnung ist nach dem Gesagten vom effektiven Monatslohn von Fr. 1100.-- auszugehen. Laut GAV hätte sich dieses Gehalt vom September 1965 an um Fr. 40.- auf Fr. 1140.--, vom April 1966 an um weitere Fr. 40.- auf Fr. 1180.-- und vom April 1967 an um Fr. 60.- auf Fr. 1240.-- erhöht. Berücksichtigt man die tatsächlichen Lohnerhöhungen auf Juni 1966 (Fr. 50.-) und auf April 1967 (Fr. 55.-), so ergibt sich daraus ein Guthaben des Beschwerdeführers von Fr. 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