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396</w:t>
      </w:r>
    </w:p>
    <w:p>
      <w:r>
        <w:t>Bundesgericht (BGE), 1958-04-15, DE</w:t>
      </w:r>
    </w:p>
    <w:p>
      <w:r>
        <w:rPr>
          <w:b/>
        </w:rPr>
        <w:t xml:space="preserve">Quelle: </w:t>
      </w:r>
      <w:r>
        <w:t>https://mcp.opencaselaw.ch/entscheid/bge_BGE_96_I_396</w:t>
      </w:r>
    </w:p>
    <w:p>
      <w:r>
        <w:t>FR: ATF 96 I 396</w:t>
      </w:r>
    </w:p>
    <w:p>
      <w:r>
        <w:t>IT: DTF 96 I 396</w:t>
      </w:r>
    </w:p>
    <w:p>
      <w:pPr>
        <w:pStyle w:val="Heading2"/>
      </w:pPr>
      <w:r>
        <w:t>Regeste</w:t>
      </w:r>
    </w:p>
    <w:p>
      <w:r>
        <w:t>Regeste Haager Übereinkommen vom 15. April 1958 über die Anerkennung und Vollstreckung von Entscheidungen auf dem Gebiete der Unterhaltspflicht gegenüber Kindern. Vorbehalt der öffentlichen Ordnung des Vollstreckungsstaates (Art. 2 Ziff. 5 des Übereinkommens). Ein deutsches Vaterschaftsurteil, das einen in der Schweiz wohnhaften Beklagten zu Unterhaltsleistungen verpflichtet, verstösst nicht gegen die öffentliche Ordnung der Schweiz - weil das Urteil dem Beklagten gemäss § 175 der deutschen ZPO in Deutschland durch "Aufgabe zur Post" zugestellt wurde, sofern es ihm in der Schweiz ordnungsgemäss zugekommen ist (Erw. a);. - weil das Urteil nicht mit einer Rechtsmittelbelehrung versehen war (Erw. b); - weil im Urteil auf die Einrede des unzüchtigen Lebenswandels der Mutter nicht eingegangen wurde (Erw. c).</w:t>
      </w:r>
    </w:p>
    <w:p>
      <w:r>
        <w:t>Regeste Convention de La Haye, du 15 avril 1958, concernant la reconnaissance et l'exécution des décisions en matière d'obligations alimentaires envers les enfants. Réserve de l'ordre public de l'Etat d'exécution (art. 2 ch. 5 de la Convention). Un jugement allemand de paternité, qui condamne à des prestations alimentaires un défendeur domicilié en Suisse, ne viole pas l'ordre public suisse alors même - qu'il a été notifié au défendeur par la poste en application de l'art. 175 CPC allemand, pourvu qu'il soit régulièrement parvenu à son destinataire en Suisse (consid. a); - qu'il n'indique pas les voies de recours (consid. b); - qu'il n'est pas entré en matière sur l'exception tirée de l'inconduite de la mère (consid. c).</w:t>
      </w:r>
    </w:p>
    <w:p>
      <w:r>
        <w:t>Regesto Convenzione dell'Aia del 15 aprile 1958 concernente il riconoscimento e l'esecuzione delle decisioni in materia d'obbligazioni alimentari verso i figli. Riserva dell'ordine pubblico dello Stato d'esecuzione (art. 2 num. 5 della Convenzione). Una sentenza tedesca di paternità, che condanna a prestazioni alimentari un convenuto domiciliato in Svizzera, non contrasta con l'ordine pubblico svizzero quand'anche - sia stata notificata al convenuto tramite la posta in applicazione dell'art. 175 CPC tedesco, purchè sia regolarmente pervenuta al destinatario in Svizzera (consid. a); - non indichi i rimedi giuridici (consid. b); - non sia entrata nel merito sull'eccezione tratta dalla condotta scostumata della madre (consid. c).</w:t>
      </w:r>
    </w:p>
    <w:p>
      <w:pPr>
        <w:pStyle w:val="Heading2"/>
      </w:pPr>
      <w:r>
        <w:t>Erwägungen</w:t>
      </w:r>
    </w:p>
    <w:p>
      <w:r>
        <w:rPr>
          <w:b/>
        </w:rPr>
        <w:t>E. 4</w:t>
      </w:r>
    </w:p>
    <w:p>
      <w:r>
        <w:t>Zu prüfen bleibt, ob das Urteil des Amtsgerichtes Lörrach mit der öffentlichen Ordnung (ordre public) der Schweiz offensichtlich unvereinbar ist, was nach Art. 2 Ziff. 5 des Abkommens die Anerkennung des Urteils ausschlösse. Der Vorbehalt der öffentlichen Ordnung greift nach der bundesgerichtlichen Rechtsprechung dann Platz, wenn das einheimische Rechtsgefühl durch die Anerkennung und Vollstreckung eines ausländischen Urteils in unerträglicher Weise verletzt würde ( BGE 93 I 58 mit Hinweis auf frühere Entscheide; vgl. ferner BGE 93 II 382 ). Ein Urteil kann dabei, wie der Beschwerdeführer BGE 96 I 396 S. 398 zutreffend ausführt, sowohl wegen seines materiellen Inhaltes wie wegen des Verfahrens, in welchem es zustande kam, gegen die öffentliche Ordnung der Schweiz verstossen ( BGE 85 I 47 f., BGE 87 I 78 , BGE 93 I 58 ). Nach der Rechtsprechung sind dabei der Anwendung der Ordre-public-Klausel mit Bezug auf die Vollstreckung ausländischer Urteile engere Grenzen gezogen als im Gebiet der direkten Gesetzesanwendung ( BGE 93 II 383 mit Hinweis auf frühern Entscheid). Es kommt hinzu, dass das Haager Abkommen den Gebrauch des Vorbehalts einschränkt, indem es bestimmt, die Vollstreckung sei zu verweigern, wenn die Entscheidung mit der öffentlichen Ordnung "offensichtlich unvereinbar" ist (BBl 1964 I S. 507). a) Es ist zunächst zu untersuchen, ob es. der öffentlichen Ordnung zuwiderläuft, ein Urteil für rechtskräftig zu halten, das gemäss § 175 DZPO zugestellt wurde. Nach dieser Vorschrift gilt das Urteil mit der Übergabe an die deutsche Post als zugestellt, unbekümmert darum, ob die Sendung dem im Ausland wohnenden Beklagten zukommt oder nicht (Kommentar STEIN-JONAS/POHLE, 19. Aufl., N. III zu § 175 DZPO). Das hat zur Folge, dass die Rechtsmittelfrist vom Tage der Übergabe an die Post an läuft und das Urteil rechtskräftig werden kann, ohne dass der Beklagte die Möglichkeit hat, sich dagegen zur Wehr zu setzen. Er kann freilich solchen Folgen entgehen, indem er - wie es ihm § 174 Abs. 2 DZPO zur Pflicht macht - einen Zustellungsbevollmächtigten in der Bundesrepublik bezeichnet. Ob der Beschwerdeführer auf diese gesetzliche Pflicht hingewiesen wurde, nachdem sein Anwalt das Mandat niedergelegt hatte, steht dahin; nötig war dieser Hinweis nach § 174 Abs. 2 nicht. Die unterstellte oder fingierte Zustellung, wie sie in § 175 DZPO vorgesehen ist, erklärt sich aus den praktischen Bedürfnissen des Gerichtsbetriebes in Fällen, in welchen eine Partei ihren Wohnsitz im Ausland hat. Sie trägt freilich dem Rechtsschutzinteresse der ausländischen Partei wenig Rechnung. Diese hat vor allem die Folgen zu tragen, wenn ihr durch ein Versehen der Post die Sendung nicht zukommt. Ob die Annahme der Rechtskraft des Urteils gegen die öffentliche Ordnung der Schweiz verstiesse, wenn nach § 175 DZPO zugestellt wurde und die Sendung die Partei infolge eines Versehens der Postorgane nicht erreicht hat, kann indessen hier offen bleiben. Der Beschwerdeführer hat nämlich im kantonalen Verfahren nicht bestritten und bestreitet auch in BGE 96 I 396 S. 399 der staatsrechtlichen Beschwerde nicht, dass ihm die Urteilsausfertigung durch die schweizerische Post ausgehändigt wurde. Da es sich um eine eingeschriebene Sendung handelte, hätte sich das im Falle der Bestreitung nachweisen lassen. Ist dem Beschwerdeführer aber das Urteil durch die Post an seinem Domizil in der Schweiz ordnungsgemäss zugekommen, so begegnet die Annahme der Rechtskraft unter dem Gesichtspunkt der öffentlichen Ordnung der Schweiz keinen Bedenken, denn der Beschwerdeführer konnte das Urteil ganz gleich anfechten, wie wenn es ihm auf dem Rechtshilfeweg zugestellt worden wäre. b) Der Beschwerdeführer behauptet, die Ladung zum Verfahren sei nicht rechtsgültig erfolgt und es sei im Urteil auf seine Einwendungen nicht eingegangen worden. Die Akten des Amtsgerichts Lörrach zeigen, dass die Ladung richtig erfolgte und der Beschwerdeführer Gelegenheit hatte, die Vorbringen der Klägerin zu bestreiten. Dass das einer ausländischen Partei zugestellte Urteil eine Rechtsmittelbelehrung enthielte, mag wünschbar scheinen, doch bildet das Fehlen eines solchen Hinweises keinen hinreichenden Grund, das Urteil als offensichtlich der öffentlichen Ordnung zuwiderlaufend zu betrachten. Es sehen nicht alle kantonalen Zivilprozessordnungen der Schweiz die Pflicht des erstinstanzlichen Richters vor, den Streitparteien eine Rechtsmittelbelehrung zu erteilen (GULDENER, Das schweizerische Zivilprozessrecht, 2. Aufl., S. 195), und das Bundesgericht hat Prozessordnungen, welche diese Pflicht nicht statuieren, in seiner bisherigen Rechtsprechung nicht als verfassungswidrig bezeichnet. Umso weniger kann angenommen werden, das deutsche Urteil laufe der öffentlichen Ordnung zuwider, weil die Rechtsmittelbelehrung fehlt. Nachdem das Urteil dem Beschwerdeführer ausgehändigt war, war es für ihn möglich und geraten, entweder durch Anfrage beim deutschen Gericht oder mit Hilfe eines Anwaltes abzuklären, auf welche Weise der Entscheid angefochten werden könne. c) Der Beschwerdeführer ist schliesslich der Meinung, das Urteil laufe auch in materieller Hinsicht der öffentlichen Ordnung zuwider, weil auf die Einrede des unzüchtigen Lebenswandels nicht eingegangen worden sei und der Einwand des Art. 315 ZGB nach allgemeiner Lehre und Praxis zum Vorbehalt des schweizerischen ordre public gehöre. Er irrt. Nach der bundesgerichtlichen Rechtsprechung verträgt sich ein BGE 96 I 396 S. 400 Urteil mit der öffentlichen Ordnung der Schweiz, das auf Grund eines Gesetzes ausgesprochen wurde, welches den unzüchtigen Lebenswandel der Kindsmutter um die Zeit der Empfängnis im Gegensatz zur Regel des Art. 315 ZGB nicht als Grund für die Klageabweisung gelten lässt ( BGE 53 II 94 , BGE 96 II 8 ; übereinstimmend HEGNAUER, N. 218 zu Art. 314/15 ZGB). Es besteht kein Anlass, von dieser Rechtsprechung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