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248</w:t>
      </w:r>
    </w:p>
    <w:p>
      <w:r>
        <w:t>Bundesgericht (BGE), 1970-01-01, DE</w:t>
      </w:r>
    </w:p>
    <w:p>
      <w:r>
        <w:rPr>
          <w:b/>
        </w:rPr>
        <w:t xml:space="preserve">Quelle: </w:t>
      </w:r>
      <w:r>
        <w:t>https://mcp.opencaselaw.ch/entscheid/bge_BGE_96_I_248</w:t>
      </w:r>
    </w:p>
    <w:p>
      <w:r>
        <w:t>FR: ATF 96 I 248</w:t>
      </w:r>
    </w:p>
    <w:p>
      <w:r>
        <w:t>IT: DTF 96 I 248</w:t>
      </w:r>
    </w:p>
    <w:p>
      <w:pPr>
        <w:pStyle w:val="Heading2"/>
      </w:pPr>
      <w:r>
        <w:t>Regeste</w:t>
      </w:r>
    </w:p>
    <w:p>
      <w:r>
        <w:t>Regeste Markenrecht, Internationale Marke deutschen Ursprungs; Voraussetzungen der Eintragung in der Schweiz. Madrider Abkommen (Fassung von Nizza), Art. 5 Abs. 1; Pariser Verbandsübereinkunft (Fassung von Lissabon), Art. 6 Abs. 1, 6 quinquies lit. B Ziff. 2; Art. 14 Abs. 1 Ziff. 2 MSchG (Erw. 1). Schutzverweigerung der Marke "Dominant", weil sie als vergleichende Beschaffenheitsangabe der gewöhnlichen Sachbezeichnung gleichzusetzen ist (Erw. 2).</w:t>
      </w:r>
    </w:p>
    <w:p>
      <w:r>
        <w:t>Regeste Droit des marques. Marque internationale d'origine allemande; Conditions de l'enregistrement en Suisse; art. 5 al. 1 de l'Arrangement de Madrid (texte de Nice), art. 6 al. 1 et 6 quinquies litt. B ch. 2 de la Convention d'union de Paris (texte de Lisbonne), art. 14 al. 1 ch. 2 LMF (consid. 1). Refus de protéger la marque "Dominant" qui, constituant une indication comparative sur la qualité du produit, doit être assimilée à une indication descriptive ordinaire (consid. 2).</w:t>
      </w:r>
    </w:p>
    <w:p>
      <w:r>
        <w:t>Regesto Diritto delle marche. Marca internazionale d'origine tedesca; requisiti per la registrazione in Svizzera. art. 5 cpv. 1 dell'Accordo di Madrid (testo di Nizza), art. 6 cpv. 1 e 6 quinquies lett. B num. 2 della Convenzione d'Unione di Parigi (testo di Lisbona), art. 14 cpv. 1 num. 2 LMF (consid. 1). Rifiuto di proteggere la marca "Dominant" che, costituendo una indicazione comparativa sulla qualità del prodotto, dev'essere assimilata ad una indicazione descrittiva ordinaria (consid. 2).</w:t>
      </w:r>
    </w:p>
    <w:p>
      <w:pPr>
        <w:pStyle w:val="Heading2"/>
      </w:pPr>
      <w:r>
        <w:t>Erwägungen</w:t>
      </w:r>
    </w:p>
    <w:p>
      <w:r>
        <w:rPr>
          <w:b/>
        </w:rPr>
        <w:t>E. 1</w:t>
      </w:r>
    </w:p>
    <w:p>
      <w:r>
        <w:t>Die Bundesrepublik Deutschland und die Schweiz sind dem Madrider Abkommen betreffend die internationale Registrierung der Fabrik- oder Handelsmarken (MMA) in der am 15. Juni 1957 in Nizza revidierten Fassung beigetreten. Art. 5 Abs. 1 MMA erlaubt den auf das Abkommen verpflichteten Ländern, einer international eingetragenen Marke den Schutz unter den gleichen Voraussetzungen zu verweigern, unter denen sie ihn nach der Pariser Verbandsübereinkunft zum Schutze des gewerblichen Eigentums (PVUe) einer zur nationalen Eintragung hinterlegten Marke versagen dürfen. Zwischen der Bundesrepublik Deutschland und der Schweiz ist die am 31. Oktober 1958 in Lissabon vereinbarte Fassung der PVUe massgebend. Sie umschreibt in Art. 6 quinquies, lit. B, die Voraussetzungen, unter denen ein Land die Eintragung von Fabrik- oder Handelsmarken verweigern darf. Diese Bestimmung lässt in Ziffer 2 die Verweigerung unter anderem zu, "wenn die Marken jeder Unterscheidungskraft entbehren oder ausschliesslich aus Zeichen oder Angaben zusammengesetzt sind,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Im übrigen hängt die Eintragungsfähigkeit von BGE 96 I 248 S. 250 den Gesetzen dieses Landes ab ( Art. 6 Abs. 1 PVUe ). Ein Verbandsland kann eine Marke also auch dann schützen, wenn es ihr nach der PVUe den Schutz verweigern dürfte. Nach schweizerischem Recht darf eine Marke unter anderem dann nicht eingetragen werden, wenn sie als wesentlichen Bestandteil ein als Gemeingut anzusehendes Zeichen enthält oder wenn sie gegen bundesgesetzliche Vorschriften oder gegen die guten Sitten verstösst ( Art. 14 Abs. 1 Ziff. 2 MSchG ). Als Gemeingut gelten nach ständiger Rechtsprechung unter anderem Hinweise auf Eigenschaften oder Beschaffenheit der Erzeugnisse, für welche die Marke bestimmt ist ( BGE 94 I 76 , BGE 91 I 357 Erw. 3 und dort erwähnte Entscheide).</w:t>
      </w:r>
    </w:p>
    <w:p>
      <w:r>
        <w:rPr>
          <w:b/>
        </w:rPr>
        <w:t>E. 2</w:t>
      </w:r>
    </w:p>
    <w:p>
      <w:r>
        <w:t>Die Beschwerdeführerin ist der Auffassung, die Bezeichnung "DOMINANT" sei im Zusammenhang mit alkoholfreien und alkoholischen Getränken weder gebräuchlich noch weise sie auf die Beschaffenheit der benannten Erzeugnisse hin. Das Wort "DOMINANT" entstammt der französischen Sprache und ist sinnverwandt mit den Wörtern "primordial", "important", "premier", "prépondérant", "principal" (vgl. ROBERT, Dictionnaire alphabétique et analogique de la langue française, Bd. II 1963, S. 1360; GRAND LAROUSSE, Bd. IV, 1961, S. 173). Es ist somit keine Beschaffenheitsangabe allgemeinster Art wie die Bezeichnungen "unique" ( BGE 70 II 253 ), "extra" ( BGE 27 II 617 ), "prima", "fein", "gut" (BGE 21 S. 1057), sondern enthält einen werbemässigen Qualitätshinweis, der für das kaufende Publikum klar erkennbar ist. Das Bundesgericht lehnte im EntscheidBGE 31 II 745die Schutzfähigkeit der Marke "Record" ab, weil sie durch den Gebrauch in eine Sachbezeichnung umgewandelt worden sei; sie weise nicht ausschliesslich auf die Herkunft der Ware aus einem bestimmten Betrieb, sondern auf ihre Beschaffenheit hin, weshalb sie als Gemeingut angesehen werden müsse. Ist aber der Marke "Record" der Schutz zu verweigern, so ist nicht zu ersehen, weshalb für das Zeichen "DOMINANT" etwas anderes gelten sollte. Es besteht kein Grund, eine vergleichende Beschaffenheitsangabe markenrechtlich anders zu behandeln als eine gewöhnliche Sachbezeichnung. Das von der Beschwerdeführerin als Marke beanspruchte Wort ist für den Gemeingebrauch in der Werbung freizuhalten.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