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104</w:t>
      </w:r>
    </w:p>
    <w:p>
      <w:r>
        <w:t>Bundesgericht (BGE), 1970-01-01, DE</w:t>
      </w:r>
    </w:p>
    <w:p>
      <w:r>
        <w:rPr>
          <w:b/>
        </w:rPr>
        <w:t xml:space="preserve">Quelle: </w:t>
      </w:r>
      <w:r>
        <w:t>https://mcp.opencaselaw.ch/entscheid/bge_BGE_96_I_104</w:t>
      </w:r>
    </w:p>
    <w:p>
      <w:r>
        <w:t>FR: ATF 96 I 104</w:t>
      </w:r>
    </w:p>
    <w:p>
      <w:r>
        <w:t>IT: DTF 96 I 104</w:t>
      </w:r>
    </w:p>
    <w:p>
      <w:pPr>
        <w:pStyle w:val="Heading2"/>
      </w:pPr>
      <w:r>
        <w:t>Regeste</w:t>
      </w:r>
    </w:p>
    <w:p>
      <w:r>
        <w:t>Regeste Ungeschriebene verfassungsmässige Rechte. Voraussetzungen ihrer Anerkennung (Erw. 1). Friedhöfe. Gestaltung der Grabmäler. Zulässigkeit einer Vorschrift, welche die Bewilligung zur Aufstellung eines Grabmals von der Erfüllung ästhetischer Voraussetzungen abhängig macht (Erw. 2). Willkürliche oder rechtsungleiche Anwendung dieser Vorschrift auf eine für ein Familiengrab bestimmte Rehplastik? (Erw. 3).</w:t>
      </w:r>
    </w:p>
    <w:p>
      <w:r>
        <w:t>Regeste Droits constitutionnels non écrits. Conditions de la reconnaissance d'un tel droit (consid. 1). Cimetières. Forme des monuments. Admissibilité d'une disposition qui subordonne à l'accomplissement de conditions esthétiques l'autorisation d'ériger un monument (consid. 2). Application arbitraire - ou contraire à l'égalité de traitement - de cette disposition à la statue d'un chevreuil destinée à un caveau de famille? (consid. 3)</w:t>
      </w:r>
    </w:p>
    <w:p>
      <w:r>
        <w:t>Regesto Diritto costituzionale non scritto. Presupposti per riconoscimento di un siffatto diritto (consid. 1). Cimiteri. Forma dei monumenti. Ammissibilità di una disposizione che subordina l'autorizzazione ad erigere un monumento all'adempimento di condizioni estetiche (consid. 2). Applicazione arbitraria o inuguale di questa disposizione alla collocazione della statua di un capriolo su una tomba di famiglia? (consid. 3).</w:t>
      </w:r>
    </w:p>
    <w:p>
      <w:pPr>
        <w:pStyle w:val="Heading2"/>
      </w:pPr>
      <w:r>
        <w:t>Erwägungen</w:t>
      </w:r>
    </w:p>
    <w:p>
      <w:r>
        <w:rPr>
          <w:b/>
        </w:rPr>
        <w:t>E. 1</w:t>
      </w:r>
    </w:p>
    <w:p>
      <w:r>
        <w:t>Der Beschwerdeführer macht in erster Linie geltend, der angefochtene Entscheid verletze das "ungeschriebene verfassungsmässige Recht auf freie Grabmalgestaltung". BGE 96 I 104 S. 107 Dass es ungeschriebenes Verfassungsrecht des Bundes gibt und dieses auch Freiheitsrechte gewährleistet, deren Verletzung mit staatsrechtlicher Beschwerde gerügt werden kann, hat das Bundesgericht schon wiederholt erkannt ( BGE 91 I 485 /6). Bei der Anerkennung solcher durch ungeschriebenes Verfassungsrecht des Bundes gewährleisteten Freiheitsrechte ist jedoch Zurückhaltung geboten (AUBERT, Traité de droit constitutionnel suisse Nr. 312). Es geht nicht an, von jeder Befugnis und Freiheit, die an sich als Gegenstand eines verfassungsmässigen Rechtes denkbar wäre, ohne weiteres anzunehmen, sie werde, sofern sie nicht ausdrücklich gewährleistet sei, durch ungeschriebenes Verfassungsrecht des Bundes garantiert. Diese Annahme rechtfertigt sich nur bei Befugnissen, die eine Voraussetzung für die Ausübung anderer Freiheitsrechte bilden oder die sonst als unentbehrliche Bestandteile der demokratischen und rechtsstaatlichen Ordnung des Bundes erscheinen. In diesem Sinne hat das Bundesgericht die Garantie der persönlichen Freiheit und des Eigentums, die Meinungsfreiheit und die Sprachenfreiheit als ungeschriebene Grundrechte des Bundes anerkannt ( BGE 91 I 485 /6 und dort angeführte Urteile; vgl. auch BGE 91 I 119 sowie HANS HUBER, Probleme des ungeschriebenen Verfassungsrechts, ZBJV 91 bis 1955 S. 104/5). Ein Recht auf "freie Grabmalgestaltung" kann niemals ein Grundrecht in diesem Sinne sein. Es ist für den Bestand des demokratischen Rechtsstaates keineswegs notwendig; dieser lässt sich auch mit einer einheitlichen Gestaltung der Friedhöfe vereinbaren. Die Rechte der Friedhofbenützer werden durch Art. 53 Abs. 2 BV sowie durch die kantonalen und kommunalen Erlasse über das Bestattungswesen gegenüber ungerechtfertigten Übergriffen der Verwaltung hinreichend geschützt, auch wenn das Bundesgericht die Auslegung und Anwendung dieser Erlasse nur unter dem beschränkten Gesichtswinkel des Art. 4 BV überprüfen kann. Die Rüge, der angefochtene Entscheid verletze das ungeschriebene verfassungsmässige Recht auf freie Grabmalgestaltung, ist somit unbegründet; es gibt kein solches Recht. Zu prüfen bleibt, ob der Entscheid gegen Art. 4 BV verstosse.</w:t>
      </w:r>
    </w:p>
    <w:p>
      <w:r>
        <w:rPr>
          <w:b/>
        </w:rPr>
        <w:t>E. 2</w:t>
      </w:r>
    </w:p>
    <w:p>
      <w:r>
        <w:t>Gemäss Art. 53 Abs. 2 BV steht die Verfügung über die Begräbnisplätze den bürgerlichen Behörden zu und haben diese dafür zu sorgen, dass jeder Verstorbene schicklich beerdigt werde. Hieraus folgt sowohl, dass die Verfügung mit Einschluss der Rechtsetzung nicht kirchlichen Behörden überlassen werden BGE 96 I 104 S. 108 darf, wie auch, dass die Kantone und die politischen Gemeinden Vorschriften über die Benützung der Friedhöfe erlassen dürfen. Diese Vorschriften können nicht nur der Wahrung der Ordnung und Gesundheit dienen, sondern auch dem Zweck, den Friedhöfen ein würdiges und harmonisches Aussehen zu verschaffen und zu erhalten. Dazu gehört, wie das Bundesgericht von jeher angenommen hat, auch die ästhetische Gestaltung der Friedhöfe ( BGE 48 I 242 /3, bestätigt in BGE 80 I 126 und BGE 82 I 220 /21). Wenn ästhetische Rücksichten selbst Eingriffe in das private Eigentum durch baupolizeiliche Vorschriften und solche des Heimat- und Naturschutzes rechtfertigen ( BGE 88 I 253 und dort angeführte frühere Urteile), darfihnen erst recht Bedeutung beigemessen werden, wenn die Ausgestaltung eines Begräbnisplatzes und damit die Benützung von Eigentum des Gemeinwesens in Frage steht. Auch in andern Kantonen sind Vorschriften erlassen worden, welche sich gegen die Vernachlässigung der Denkmalkunst in früheren Jahrzehnten richten und sich auf Form, Material, Grösse und Farbe der Grabmäler beziehen (REMUND, Die rechtliche Organisation des Bestattungswesens im Aargau, 1948 S. 99 und Entscheid des Luzerner Regierungsrates in ZBl 65/1964 S. 530 ff.; vgl. schonBGE 48 I 243). Die Berücksichtigung ästhetischer Anforderungen an Grabmäler ist daher, entgegen der Auffassung des Beschwerdeführers, nicht "anstaltsfremd".</w:t>
      </w:r>
    </w:p>
    <w:p>
      <w:r>
        <w:rPr>
          <w:b/>
        </w:rPr>
        <w:t>E. 3</w:t>
      </w:r>
    </w:p>
    <w:p>
      <w:r>
        <w:t>Nach § 58 Abs. 2 BFO kann die Zulassung eines Grabmals verweigert werden, wenn es den ästhetischen Anforderungen nicht genügt oder nicht in die Umgebung passt. Dass diese Bestimmung auf gesetzlicher Grundlage beruht, bestreitet der Beschwerdeführer mit Recht nicht. Es kann sich bloss fragen, ob die kantonalen Behörden sie willkürlich ausgelegt und angewendet haben, d.h. in einer Weise, die mit keinen ernsthaften, sachlichen Überlegungen zu vertreten ist, oder ob sie den Beschwerdeführer rechtsungleich behandelt haben. a) Von einer willkürlichen Auslegung oder Anwendung kann nicht die Rede sein. Dass das vom Beschwerdeführer vorgeschlagene Grabmal künstlerische Mängel aufweise, ist kaum zu übersehen und lässt sich jedenfalls mit guten Gründen vertreten. Man kann auch ohne Willkür sagen, dass es das Niveau einer Gartenplastik kaum überschreite. Die Vorwürfe, dass die Haltung des Tieres "unnatürlich und verquält" sei (Vernehmlassung des Sanitätsdepartements), dass das Reh an eine BGE 96 I 104 S. 109 Figur des Filmzeichners Walt Disney erinnere und wegen seiner verniedlichenden Wirkung auf einem Friedhof als Fremdkörper störe (angefochtener Entscheid), mögen streng sein, sind aber nicht völlig abwegig. Sicher sind auf schweizerischen Friedhöfen weit schlimmere Grabmäler zu finden und geht das basellandschaftliche Verwaltungsgericht (BJM 1968 S. 301 ff.) inbezug auf die ästhetischen Anforderungen an Grabmäler weniger weit als die basel-städtischen Behörden im Falle BJM 1968 S. 298 ff. und im vorliegenden Falle. Das kann aber nicht entscheidend sein. Dem Gemeinwesen als Eigentümer des Friedhofs kann nicht verwehrt werden, für besondere Teile desselben erhöhte Anforderungen an Grabmäler zu stellen. Das tun offenbar die basel-städtischen Behörden im Bereich der Familiengräber des in neuerer Zeit angelegten Hörnli-Friedhofes. Dies hat seinen guten Sinn, da Familiengräber ihrer Bestimmung gemäss über Generationen bestehen bleiben und Fehlleistungen sich daher sehr lange auswirken. Die Absicht, in dem für Familiengräber bestimmten Teil des Friedhofs in künstlerischer Hinsicht besondere Gediegenheit anzustreben, lässt sich vertreten. In diesem Bereich besonders guter Grabmäler stört aber ein minderwertiges Werk viel empfindlicher und beeinträchtigt die angestrebte Würde und Schönheit des Friedhofs weit mehr als anderswo. Die von den Parteien eingereichten Photographien belegen dies. Sind auch nicht alle aufgestellten Werke von gleichem künstlerischen Wert, so erreichen manche doch einen beachtlichen Stand, auf den Rücksicht genommen werden darf. Es kann auch nicht gesagt werden, die Basler Behörden gingen mit ihren Anforderungen offensichtlich zu weit und schränkten die Wahlfreiheit des Beschwerdeführers allzu sehr ein. Sie wären nicht nur bereit, die vorgeschlagene Rehplastik auf einem Kindergrab zuzulassen, sondern lehnen auch eine Rehplastik auf einem Familiengrab nicht grundsätzlich ab, wollen es dem Beschwerdeführer also nicht verwehren, aus den von ihm angegebenen Gründen gerade eine solche Plastik auf seinem Familiengrab aufzustellen. Doch hätte diese in ihren Dimensionen einem solchen Grab zu entsprechen und eine künstlerisch bessere Lösung zu bringen, die wenn nicht vom Bildhauer X., dem Schöpfer des streitigen Entwurfs, so doch von einem andern Künstler unschwer zu finden sein dürfte. Der künstlerischen Phantasie und dem persönlichen Geschmack lässt die BGE 96 I 104 S. 110 Praxis der Behörden, wie die bei den Akten liegenden Photographien zeigen, offensichtlich einen weiten Spielraum. b) Nach dem angefochtenen Entscheid hat die Friedhofverwaltung die Praxis vor 5 bis 6 Jahren verschärft. Der Beschwerdeführer bestreitet eine solche Verschärfung und erblickt darin eventuell eine gegen Art. 4 BV verstossende "ungerechtfertigte Praxisänderung". Was in diesem Zusammenhang vorgebracht wird, wird jedoch durch die Ausführungen in der Ergänzungsvernehmlassung des Sanitätsdepartements vom 30. Oktober 1969 widerlegt und ist jedenfalls nicht geeignet, eine Verletzung des Art. 4 BV darzutun. c) Der Vorwurf der rechtsungleichen Behandlung wäre nur begründet, wenn heute Gleiches ungleich behandelt würde. Eine solche Ungleichbehandlung liegt nicht schon darin, dass für den Wolfgottesacker, der immerhin in 40 Jahren aufgehoben werden soll und viele den heutigen Anschauungen nicht mehr entsprechende Grabmäler enthalten dürfte, weniger strenge Anforderungen gestellt werden und dass auch für Einzel- und insbesondere Kindergräber auf dem Hörnli-Friedhof grösseres Entgegenkommen gezeigt wird. Es könnte nur dann von rechtsungleicher Behandlung gesprochen werden, wenn der Beschwerdeführer dargetan hätte, dass in der Gegenwart Vorschläge für die Gestaltung von Familiengräbern angenommen worden wären, die mit dem seinen vergleichbar wären. Dafür ist er aber den Beweis schuldig geblieben; insbesondere ergibt sich dies aus den zu den Akten gegebenen Photographien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