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72</w:t>
      </w:r>
    </w:p>
    <w:p>
      <w:r>
        <w:t>Bundesgericht (BGE), 1970-01-01, DE</w:t>
      </w:r>
    </w:p>
    <w:p>
      <w:r>
        <w:rPr>
          <w:b/>
        </w:rPr>
        <w:t xml:space="preserve">Quelle: </w:t>
      </w:r>
      <w:r>
        <w:t>https://mcp.opencaselaw.ch/entscheid/bge_BGE_96_IV_72</w:t>
      </w:r>
    </w:p>
    <w:p>
      <w:r>
        <w:t>FR: ATF 96 IV 72</w:t>
      </w:r>
    </w:p>
    <w:p>
      <w:r>
        <w:t>IT: DTF 96 IV 72</w:t>
      </w:r>
    </w:p>
    <w:p>
      <w:pPr>
        <w:pStyle w:val="Heading2"/>
      </w:pPr>
      <w:r>
        <w:t>Regeste</w:t>
      </w:r>
    </w:p>
    <w:p>
      <w:r>
        <w:t>Regeste Art. 310 Ziff. 1 StGB; Befreiung von Gefangenen. 1. Die Anwendung von Gewalt, Drohung oder List ist auch für die Hilfe zur Flucht erforderlich (Erw. 2). 2. Die Begünstigung eines bereits in Freiheit gelangten Gefangenen fällt nicht unter Art. 310 StGB (Erw. 3).</w:t>
      </w:r>
    </w:p>
    <w:p>
      <w:r>
        <w:t>Regeste Art. 310 ch. 1 CP; faire évader des détenus. 1. Celui qui prête assistance à un détenu pour s'évader n'est punissable que s'il use de violence, de menace ou de ruse (consid. 2). 2. L'aide apportée à un détenu qui est déjà parvenu à recouvrer la liberté ne tombe pas sous le coup de l'art. 310 CP (consid. 3).</w:t>
      </w:r>
    </w:p>
    <w:p>
      <w:r>
        <w:t>Regesto Art. 310 num. 1 CP; liberazione di detenuti. 1. Chi presta aiuto nell'evasione è punibile solo se ha usato violenza, minaccia o astuzia (consid. 2). 2. L'aiuto prestato a un detenuto che ha già raggiunto la libertà non rientra nell'art. 310 CP (consid. 3).</w:t>
      </w:r>
    </w:p>
    <w:p>
      <w:pPr>
        <w:pStyle w:val="Heading2"/>
      </w:pPr>
      <w:r>
        <w:t>Erwägungen</w:t>
      </w:r>
    </w:p>
    <w:p>
      <w:r>
        <w:rPr>
          <w:b/>
        </w:rPr>
        <w:t>E. 1</w:t>
      </w:r>
    </w:p>
    <w:p>
      <w:r>
        <w:t>Der Befreiung von Gefangenen gemäss Art. 310 Ziff. 1 StGB macht sich schuldig, "wer mit Gewalt, Drohung oder List einen Verhafteten, einen Gefangenen oder einen andern auf amtliche Anordnung in eine Anstalt Eingewiesenen befreit oder ihm zur Flucht behilflich ist".</w:t>
      </w:r>
    </w:p>
    <w:p>
      <w:r>
        <w:rPr>
          <w:b/>
        </w:rPr>
        <w:t>E. 2</w:t>
      </w:r>
    </w:p>
    <w:p>
      <w:r>
        <w:t>Es liegt auf der Hand, dass der Beschwerdeführer weder mit der Miete des Wagens und dessen Überlassung an die Fluchthelfer noch durch das Zurverfügungstellen seiner Wohnung und das Aushelfen mit Kleidern und Geld Gewalt, Drohung oder List angewandt hat. Auch die Vorinstanz nimmt das nicht an. Hingegen vertritt sie die Auffassung, die Anwendung von Gewalt, Drohung oder List sei nur für die eigentliche Gefangenenbefreiung erforderlich, nicht auch für die Hilfe zur Flucht. a) Die Berufung des Kantonsgerichts auf HAFTER, Bes. Teil S. 816, schlägt nicht durch. Dieser findet, wenn man Gewalt, Drohung und List auch bei der Hilfe zur Flucht fordere, werde dieser Tatbestand ungebührlich eingeengt. Er untersucht indessen nicht, ob diese Lösung dem Sinn des Gesetzes entspreche. VASALLI, L'evasione nel diritto penale svizzero S. 127, nimmt an, dies sei die Auffassung der Doktrin, verweist jedoch lediglich auf HAFTER. b) Wie VASALLI, a.a.O., zutreffend feststellt, ist die von HAFTER vertretene Meinung das Gegenteil dessen, was der historische Gesetzgeber wollte. Das geht aus ZUERCHERS Motiven zum Vorentwurf von 1908 (S. 384 a.E.) hervor; ferner aus dem Votum MUELLER in der 2. Expertenkommission (Prot. V S. 261), der erklärte: "Man ist einig, dass sich die Worte Gewalt, Drohung oder List auf die Befreiung und auf die Hilfeleistung dazu beziehen sollen". c) Dieser Wille ist im Wortlaut des Art. 310 Ziff. 1 StGB unvollkommen zum Ausdruck gebracht worden. Er lässt in allen drei Sprachen die eine wie die andere Auffassung zu. BGE 96 IV 72 S. 75 Immerhin spricht die grammatikalische Auslegung eher dafür, dass die Einschränkung beide Begehungsformen erfassen soll. d) Dem Zweckgedanken und der Systematik des Gesetzes entspricht es, auch die Hilfe zur Flucht lediglich dann gemäss Art. 310 StGB zu bestrafen, wenn List, Gewalt oder Drohung angewandt wurden. Das Gesetz lässt den einzelnen Gefangenen, der sich selbst befreit, straflos. Auch derjenige ist nicht nach Art. 310 strafbar, der einen Gefangenen ohne Anwendung von List, Gewalt oder Drohung befreit. Befreiungshandlungen greifen jedoch unmittelbarer in den Anstaltsgewahrsam ein als die blosse Hilfe zur Flucht. Es ist nicht einzusehen, wieso letztere strafwürdiger sein sollte als die eigentliche Befreiung. Die Fluchthilfe für einen Strafgefangenen bleibt nicht straflos, wenn sie ohne Anwendung von Gewalt, List oder Drohung geschieht. In diesem Falle kommt Art. 305 zur Anwendung, der jeden mit Strafe bedroht, der jemanden der Strafverfolgung, dem Strafvollzug oder dem Vollzug einer richterlich angeordneten Massnahme entzieht. Art. 305 betrifft indessen nur die dort abschliessend aufgezählten Kategorien von Gefangenen. Administrativ Eingewiesene fallen nicht darunter. Wer einen administrativ Verwahrten, der sich dem Zugriff der Behörden entzogen hat, begünstigt, ist nach Art. 305 nicht strafbar. Wird jedoch ein administrativ Verwahrter mit List, Gewalt oder Drohung befreit oder wird ihm auf solche Weise zur Flucht verholfen, kommt Art. 310 StGB zum Zug. Weil die Anwendung dieser besonderen Mittel ein besonderes Bedürfnis nach Bestrafung schafft, sind bei Art. 310 die administrativ Eingewiesenen richtigerweise nicht ausgeklammert worden. Wollte man mit der Vorinstanz annehmen, die Fluchtbegünstigung sei nach Art. 310 in jedem Falle strafbar, auch ohne Anwendung von List, Gewalt oder Drohung, dann würde der bewussten Einschränkung des Art. 305 StGB auf Strafgefangene für diese Form der Tatbegehung die praktische Bedeutung genommen. Die Vorinstanz hat somit Art. 310 StGB verletzt, indem sie den Beschwerdeführer verurteilte, obwohl er weder List noch Gewalt oder Drohung angewandt hat. 3. - Die Vorinstanz ist ferner der Auffassung, Art. 310 StGB finde auch auf die Begünstigung eines bereits in Freiheit gelangten Gefangenen Anwendung, der sich einer neuerlichen Verhaftung und Rückversetzung in eine Anstalt zu entziehen trachtet. Dementsprechend hat sie Berger dafür bestraft, dass BGE 96 IV 72 S. 76 er das Auto zur Verfügung stellte und nachher Bachmann mit Kleidern und Geld aushalf. Damit hat sie Art. 310 erneut verletzt. Die Gefangenenbefreiung ist vollendet im Augenblick, wo der Gefangene die Freiheit erlangt hat. Die Flucht ist gelungen, wenn der Gefangene alle zur Sicherung des Gewahrsams aufgerichteten Hindernisse überwunden hat. Nur bis zu diesem Zeitpunkt kann ein Dritter dem Gefangenen zur Flucht verhelfen. Die Hilfe, die dem Flüchtigen nach der Befreiung gewährt wird, fällt nicht unter Art. 310 StGB . Dem entspricht auch die unzweideutige Formulierung dieser Bestimmung: Bestraft wird der Dritte, der einem Gefangenen "zur Flucht" hilft. Noch deutlicher sind die romanischen Texte: "... fait évader une personne arrêtée. .. ou lui aura prêté assistance pour s'évader. .." und ". .. o le presta aiuto nell'evasione. ..". Die Hilfe zur Flucht muss also bei der Entweichung, bei der Befreiung geleistet werden, um unter Art. 310 StGB zu fallen. Dass die später geleistete Hilfe auch nach Art. 305 nicht bestraft wird, wenn der Geflohene administrativ eingewiesen war, entspricht dem Willen des Gesetzes und darf vom Richter nicht durch eine sinn- und zweckwidrige Auslegung von Art. 310 geändert werden.</w:t>
      </w:r>
    </w:p>
    <w:p>
      <w:r>
        <w:rPr>
          <w:b/>
        </w:rPr>
        <w:t>E. 4</w:t>
      </w:r>
    </w:p>
    <w:p>
      <w:r>
        <w:t>Ob anders zu entscheiden wäre für den Fall, dass die Flucht ohne die Zusicherung der späteren Hilfeleistung durch einen Dritten unterblieben wäre, kann dahingestellt bleiben. Es wird nicht behauptet, die beiden Anstaltsinsassen wären ohne die von Berger geleistete Hilfe nicht entwichen. Dispositiv Demnach erkennt der Kassationshof: Die Nichtigkeitsbeschwerde wird gutgeheissen, das Urteil des Kantonsgerichtes Graubünden vom 19. März 1970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