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39</w:t>
      </w:r>
    </w:p>
    <w:p>
      <w:r>
        <w:t>Bundesgericht (BGE), 1970-01-01, DE</w:t>
      </w:r>
    </w:p>
    <w:p>
      <w:r>
        <w:rPr>
          <w:b/>
        </w:rPr>
        <w:t xml:space="preserve">Quelle: </w:t>
      </w:r>
      <w:r>
        <w:t>https://mcp.opencaselaw.ch/entscheid/bge_BGE_96_IV_39</w:t>
      </w:r>
    </w:p>
    <w:p>
      <w:r>
        <w:t>FR: ATF 96 IV 39</w:t>
      </w:r>
    </w:p>
    <w:p>
      <w:r>
        <w:t>IT: DTF 96 IV 39</w:t>
      </w:r>
    </w:p>
    <w:p>
      <w:pPr>
        <w:pStyle w:val="Heading2"/>
      </w:pPr>
      <w:r>
        <w:t>Regeste</w:t>
      </w:r>
    </w:p>
    <w:p>
      <w:r>
        <w:t>Regeste Art. 90 SVG, Art. 117 und 125 StGB. Durch die Strafe wegen fahrlässiger Tötung einer Person wird die konkrete Gefährdung einer weiteren, nur verletzten Person nicht mitabgegolten. Neben Art. 117 StGB ist daher Art. 90 SVG anwendbar, wenn die verletzte Person auf den Strafantrag gemäss Art. 125 Abs. 1 StGB verzichtet hat.</w:t>
      </w:r>
    </w:p>
    <w:p>
      <w:r>
        <w:t>Regeste Art. 90 LCR, Art. 117 et 125 CP. La peine afférente à l'homicide par négligence qui a fait une victime ne sanctionne pas en même temps la mise en danger concrète d'une autre victime, seulement blessée. C'est pourquoi l'art. 90 LCR s'applique concurremment avec l'art. 117 CP lorsque la personne blessée a renoncé à porter plainte conformément à l'art. 125 al. 1 CP.</w:t>
      </w:r>
    </w:p>
    <w:p>
      <w:r>
        <w:t>Regesto Art. 90 LCStr. Art. 117 e 125 CP. L'applicazione della pena per omicidio colposo non esclude la sanzione inoltre per la contemporanea concreta messa in pericolo di un'altra persona, rimasta solo leggermente ferita. L'art. 90 LCStr si applica pertanto in concorso con l'art. 117 CP quando la persona ferita ha rinunciato a interporre querela penale a'sensi dell'art. 125 cpv. 1 CP.</w:t>
      </w:r>
    </w:p>
    <w:p>
      <w:pPr>
        <w:pStyle w:val="Heading2"/>
      </w:pPr>
      <w:r>
        <w:t>Erwägungen</w:t>
      </w:r>
    </w:p>
    <w:p>
      <w:r>
        <w:rPr>
          <w:b/>
        </w:rPr>
        <w:t>E. 2</w:t>
      </w:r>
    </w:p>
    <w:p>
      <w:r>
        <w:t>Im Gegensatz zum Antrag auf Schuldigerklärung wegen grobfahrlässiger Tötung ist das Begehren, der Beschwerdegegner sei ausser der fahrlässigen Tötung auch der groben Verletzung von Verkehrsregeln gemäss Art. 90 Ziff. 2 Abs. 1 SVG schuldig zu erklären, begründet. Wohl kommt eine Verurteilung nach Art. 90 SVG neben derjenigen wegen fahrlässiger Tötung insoweit nicht in Betracht, als der Unfall Giovanni Niros in Frage steht. In dieser Hinsicht werden sowohl die Verstösse des Beschwerdegegners gegen BGE 96 IV 39 S. 41 Art. 31 Abs. 1 und 32 Abs. 1 SVG wie die allgemeine Verkehrsgefährdung und die konkrete Gefährdung Niros im Sinne von Art. 90 SVG durch die Bestrafung wegen fahrlässiger Tötung vollumfänglich abgegolten ( BGE 91 IV 32 E 3 und 213) Für die dem Karl Wyssen und dem Anselm Dirren zugefügten einfachen Körperverletzungen ist der Beschwerdegegner nicht zur Rechenschaft gezogen worden, weil beide auf einen Strafantrag verzichtet haben. Es stellt sich die Frage, ob in einem solchen Fall der Täter nicht wegen der konkreten Gefährdung der Verletzten zur Verantwortung gezogen werden soll. Die Vorinstanz verneint sie mit der Begründung, es würde sonst derselbe allgemeine und konkrete Gefährdungstatbestand zweimal bestraft. Dem kann nicht beigepflichtet werden. Hätten Wyssen und Dirren Strafantrag gestellt, so wäre der Beschwerdegegner der fahrlässigen Tötung und zudem der fahrlässigen Körperverletzung schuldig befunden worden. Damit wäre die Gefährdung der allgemeinen Verkehrssicherheit und die konkrete Gefährdung der verletzten Personen abgegolten gewesen ( BGE 91 IV 32 und 213). Im vorliegenden Fall konnte mangels Strafantrags keine Abgeltung der Gefährdung Wyssens und Dirrens stattfinden. Diese hat deshalb nach Art. 90 SVG zu erfolgen, denn die Gefahr hat sich voll ausgewirkt (ebenso HAEFLIGER, ZStR 1965 S. 264). Würde anders entschieden, dann müsste der Täter, welcher durch Übertretung von Verkehrsvorschriften eine einzige Person fahrlässig verletzt oder tötet, im selben Strafrahmen von Art. 125 Abs. 1 oder 117 StGB bestraft werden wie der andere Täter, der ausser dem Tod einer Person auch noch die Verletzung zweier weiterer Menschen auf dem Gewissen hat, sofern er für diese Körperverletzungen mangels Strafantrags nicht verurteilt werden kann; für die konkrete Gefährdung von zwei weitern Personen, die nach Art. 90 Ziff. 2 SVG ein Delikt ist, bliebe der Täter also straflos.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