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35</w:t>
      </w:r>
    </w:p>
    <w:p>
      <w:r>
        <w:t>Bundesgericht (BGE), 1970-01-01, FR</w:t>
      </w:r>
    </w:p>
    <w:p>
      <w:r>
        <w:rPr>
          <w:b/>
        </w:rPr>
        <w:t xml:space="preserve">Quelle: </w:t>
      </w:r>
      <w:r>
        <w:t>https://mcp.opencaselaw.ch/entscheid/bge_BGE_96_IV_35</w:t>
      </w:r>
    </w:p>
    <w:p>
      <w:r>
        <w:t>FR: ATF 96 IV 35</w:t>
      </w:r>
    </w:p>
    <w:p>
      <w:r>
        <w:t>IT: DTF 96 IV 35</w:t>
      </w:r>
    </w:p>
    <w:p>
      <w:pPr>
        <w:pStyle w:val="Heading2"/>
      </w:pPr>
      <w:r>
        <w:t>Regeste</w:t>
      </w:r>
    </w:p>
    <w:p>
      <w:r>
        <w:t>Regeste Art. 36 Abs. 2 Satz 1 SVG; Art. 1 Abs. 8 und 15 Abs. 3 Satz 1 VRV. 1. Begriff der Strassenverzweigung (Erw. 1). 2. Die Fahrzeuge, die auf grossen Durchgangsstrassen verkehren, naben den Vortritt vor denjenigen, die aus Seitenstrassen und -wegen einmünden, die offenkundig ohne praktische Verkehrsbedeutung sind (Erw. 2). 3. Der vortrittsberechtigte Fahrer darf sich darauf verlassen, dass sein Recht respektiert werde, ausser wenn konkrete Anzeichen für dessen Verletzung bestehen; um sich der Situation zu vergewissern, genügt es, dass er einen kurzen Blick nach links wirft, sobald für ihn die Sicht nach dieser Seite frei wird (Erw. 3).</w:t>
      </w:r>
    </w:p>
    <w:p>
      <w:r>
        <w:t>Regeste Art. 36 al. 2, première phrase LCR; art. 1er al. 8 et 15 al. 3, première phrase OCR. 1. Définition de l'intersection (consid. 1). 2. Les véhicules qui circulent sur des routes de grand transit ont la priorité sur ceux qui débouchent de rues et de chemins latéraux manifestement dépourvus d'intérêt pratique pour la circulation (consid. 2). 3. Le conducteur prioritaire peut compter que son droit sera respecté, a moins que des indices concrets n'en fassent prévoir la violation; il lui suffit pour s'en assurer de jeter un bref regard à gauche au moment où, pour lui, la vue s'ouvre de ce côté (consid. 3).</w:t>
      </w:r>
    </w:p>
    <w:p>
      <w:r>
        <w:t>Regesto Art. 36 cpv. 2 LCstr.; art. 1 cpv. 8 e 15 cpv. 3 ONCStr. 1. Nozione di intersezione (consid. 1). 2. I veicoli che circolano sulle strade di grande traffico hanno la precedenza rispetto a quelli che sboccano da strade laterali manifestamente sprovviste di interesse pratico per la circolazione (consid. 2). 3. L'avente diritto alla precedenza può contare sul rispetto del suo diritto, a meno che segni concreti ne rendano prevedibile la violazione; per rendersi conto della situazione è sufficiente che dia un breve sguardo a sinistra, nel momento in cui, da questo lato, la visuale è libera (consid. 3).</w:t>
      </w:r>
    </w:p>
    <w:p>
      <w:pPr>
        <w:pStyle w:val="Heading2"/>
      </w:pPr>
      <w:r>
        <w:t>Erwägungen</w:t>
      </w:r>
    </w:p>
    <w:p>
      <w:r>
        <w:rPr>
          <w:b/>
        </w:rPr>
        <w:t>E. 1</w:t>
      </w:r>
    </w:p>
    <w:p>
      <w:r>
        <w:t>Aux intersections, le véhicule qui vient de droite a la priorité (art. 36 al. 2, 1re phrase, LCR). Les intersections sont BGE 96 IV 35 S. 37 des croisées, des bifurcations ou des débouchés de routes. Ne sont pas des intersections, les endroits où débouchent sur la chaussée notamment des chemins de campagne ou des sorties de garages, de places de stationnement, de cours etc. (art. 1er al. 8 OCR). Il en résulte que le conducteur qui débouche sur une route en sortant d'un chemin de campagne, d'un garage, d'une cour etc. ne bénéficie d'aucune priorité. Cette conséquence logique a été consacrée par une disposition expresse, l'art. 15 al. 3, 1re phrase, OCR. Selon la jurisprudence, le débouché sur une route de grand transit d'une rue latérale sans importance pratique pour la circulation ne constitue pas une intersection (RO 84 IV 34 consid. 2, 92 IV 27), à condition toutefois, précise avec raison l'arrêt Allegranza du 11 juillet 1969, p. 7 (non publié), que ce caractère de la rue latérale soit apparent (p.ex. étroitesse, absence de revêtement). L'automobiliste qui, sortant d'une telle rue, s'engage sur une artère de grand transit doit donc céder le passage aux véhicules roulant sur celle-ci. Quant au rapport de deux routes secondaires entre elles, la situation est différente: la priorité appartient au conducteur venant de droite, tant qu'elle n'a pas été supprimée par le signal 116 ou 217; que l'une des deux routes soit plus animée que l'autre ne joue aucun rôle (RO 92 IV 28 s.).</w:t>
      </w:r>
    </w:p>
    <w:p>
      <w:r>
        <w:rPr>
          <w:b/>
        </w:rPr>
        <w:t>E. 2</w:t>
      </w:r>
    </w:p>
    <w:p>
      <w:r>
        <w:t>Suivant l'arrêt attaqué, l'avenue de Miremont est une route à grand trafic. Cette constatation souveraine manque de pertinence. Il y a dans les villes de nombreuses rues avec une circulation intense, qui ne sont pas des routes de grand transit au sens des arrêts précités. Or seules ces dernières donnent la priorité à l'égard des rues et chemins latéraux manifestement dépourvus d'intérêt pratique pour la circulation. Il ressort clairement du plan de Genève que l'avenue de Miremont, en dépit de son importance, n'est pas une route de grand transit: elle aboutit en effet à la rue Edouard-Tavan, dont l'autre extrémité forme le point de départ du chemin des Crêts-de-Champel, lequel, presque parallèle à l'avenue de Miremont, conduit aussi au plateau de Champel. D'autre part, le tronçon nord-est de la rue Louis-Aubert n'est pas assimilable à un chemin de campagne ou à une sortie de cour. Sans doute est-il sans issue. Mais cette circonstance n'est pas décisive. Dans la cause Allegranza (arrêt précité), la cour de céans a admis qu'une impasse longue de 54 m, large de 5 m 10 BGE 96 IV 35 S. 38 et menant uniquement à un collège et à une maison familiale formait une intersection à l'endroit où elle débouche sur la chaussée. Ici on est en présence d'un tronçon sensiblement plus long (100 à 150 m), un peu plus étroit (4 m 90) et desservant une dizaine de villas. Son étroitesse relative est d'autant moins déterminante que le tronçon nord-est (direction Champel) de l'avenue de Miremont n'est pas large non plus (5 m 30). Il s'ensuit que les avenues de Miremont et Louis-Aubert sont toutes deux des routes secondaires et que, partant, c'est Christine Mayor qui devait céder le passage à Toledo. La conclusion ne serait d'ailleurs pas différente si l'on tenait l'avenue de Miremont pour une artère de grand transit. Rien dans l'aspect de l'avenue Louis-Aubert ne révèle au conducteur ne connaissant pas les lieux que son tronçon nord-est n'aurait pas d'importance pratique pour la circulation. Outre que, à cet égard, il n'est pas concluant, le signal 315 est placé de façon à être vu des conducteurs qui s'engagent sur ce tronçon, non de ceux qui longent l'avenue de Miremont.</w:t>
      </w:r>
    </w:p>
    <w:p>
      <w:r>
        <w:rPr>
          <w:b/>
        </w:rPr>
        <w:t>E. 3</w:t>
      </w:r>
    </w:p>
    <w:p>
      <w:r>
        <w:t>Les premiers juges ayant condamné Toledo parce qu'ils ont admis à tort que la priorité appartenait à Christine Mayor, l'arrêt attaqué doit être annulé. Cela ne signifie pas que le recourant doive nécessairement être libéré. Le conducteur prioritaire peut compter que son droit sera respecté, à moins que des indices concrets n'en fassent prévoir la violation. C'est pourquoi, abordant une intersection, il doit jeter un bref coup d'oeil à gauche pour constater si, de ce côté, un véhicule approche, dont le conducteur, par son comportement, fait prévoir une violation de la priorité. Dans ce cas, le conducteur prioritaire doit faire son possible pour éviter un accident. Mais il n'est tenu de regarder à gauche qu'au moment où, pour lui, la vue s'ouvre de ce côté; il lui suffit de jeter un bref coup d'oeil, car son attention doit principalement se porter vers la droite, afin de céder le passage aux véhicules qui surviennent de ce côté, même s'ils ne tiennent pas leur droite (RO 93 IV 33). L'arrêt attaqué n'aborde pas ces questions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