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21</w:t>
      </w:r>
    </w:p>
    <w:p>
      <w:r>
        <w:t>Bundesgericht (BGE), 1970-02-27, DE</w:t>
      </w:r>
    </w:p>
    <w:p>
      <w:r>
        <w:rPr>
          <w:b/>
        </w:rPr>
        <w:t xml:space="preserve">Quelle: </w:t>
      </w:r>
      <w:r>
        <w:t>https://mcp.opencaselaw.ch/entscheid/bge_BGE_96_IV_21</w:t>
      </w:r>
    </w:p>
    <w:p>
      <w:r>
        <w:t>FR: ATF 96 IV 21</w:t>
      </w:r>
    </w:p>
    <w:p>
      <w:r>
        <w:t>IT: DTF 96 IV 21</w:t>
      </w:r>
    </w:p>
    <w:p>
      <w:pPr>
        <w:pStyle w:val="Heading2"/>
      </w:pPr>
      <w:r>
        <w:t>Regeste</w:t>
      </w:r>
    </w:p>
    <w:p>
      <w:r>
        <w:t>Regeste Art. 143 StGB. Begriff der Sachentziehung.</w:t>
      </w:r>
    </w:p>
    <w:p>
      <w:r>
        <w:t>Regeste Art. 143 CP. Définition de la soustraction sans dessein d'enrichissement.</w:t>
      </w:r>
    </w:p>
    <w:p>
      <w:r>
        <w:t>Regesto Art. 143 CP. Nozione di sottrazione di cose.</w:t>
      </w:r>
    </w:p>
    <w:p>
      <w:pPr>
        <w:pStyle w:val="Heading2"/>
      </w:pPr>
      <w:r>
        <w:t>Erwägungen</w:t>
      </w:r>
    </w:p>
    <w:p>
      <w:r>
        <w:rPr>
          <w:b/>
        </w:rPr>
        <w:t>E. 1</w:t>
      </w:r>
    </w:p>
    <w:p>
      <w:r>
        <w:t>Art. 143 StGB bedroht denjenigen mit Strafe, der ohne Bereicherungsabsicht eine bewegliche Sache dem Berechtigten entzieht und ihn dadurch schädigt. BGE 96 IV 21 S. 22 Der Tatbestand der Sachentziehung ist subsidiär zum Diebstahl wie zur Veruntreuung und zur Unterschlagung ( BGE 72 IV 61 , BGE 77 IV 162 oben); die Entziehung kann in einem Wegnehmen oder Vorenthalten der Sache bestehen. Art. 143 schützt entgegenBGE 77 IV 162nicht nur das Eigentum, sondern das Vermögen (in diesem SinnBGE 73 IV 40). Dass die Bestimmung im Abschnitt "Strafbare Handlungen gegen das Eigentum" eingereiht ist, ändert an dem sich aus dem Wortlaut ergebenden Sinn nichts ( BGE 85 IV 26 ). Danach können aber nicht nur der Eigentümer, sondern auch andere Berechtigte verletzt werden. Der durch die Entziehung verursachte Schaden muss ein vermögenswerter sein ( BGE 77 IV 162 mit Hinweisen). Dabei genügt ein bloss vorübergehender Schaden ( BGE 82 IV 90 zu Art. 148 StGB ; vgl. HEIM, Journal des Tribunaux 1952 IV S. 18 ff.). Subjektiv ist erforderlich der Vorsatz, den Berechtigten zu schädigen, wobei Eventualvorsatz genügt. Nicht nötig ist dagegen, dass der Täter mit Aneignungsabsicht gehandelt habe ( BGE 85 IV 20 ). Etwas anderes meint auch SCHWANDER, Strafgesetzbuch 2. Aufl. Nr. 552 trotz der missverständlichen Verwendung des Ausdrucks der Aneignungsabsicht nicht, wie sein Hinweis auf BGE 85 IV 20 in der ergänzenden Nr. 552 a Ziff. 3 zeigt.</w:t>
      </w:r>
    </w:p>
    <w:p>
      <w:r>
        <w:rPr>
          <w:b/>
        </w:rPr>
        <w:t>E. 2</w:t>
      </w:r>
    </w:p>
    <w:p>
      <w:r>
        <w:t>Der Einwand des Beschwerdeführers, er habe nicht in Aneignungsabsicht gehandelt, vermag ihn somit nicht zu entlasten. Auch seine Berufung aufBGE 72 IV 62geht fehl. Die Frage, ob der Beschwerdeführer lediglich eine Rückgabepflicht nicht oder nicht rechtzeitig erfüllt habe, stellt sich nicht. Die Teppichklopfstange ist ihm nicht anvertraut worden oder gegen seinen Willen zugekommen. Er hat sie unberechtigterweise aus dem Gewahrsam der Nachbarin weggenommen, eigenmächtig von ihr Besitz ergriffen. Nach der Feststellung der Vorinstanz konnten Eigentümerin und Mieterin die Stange während rund drei Monaten nicht benutzen. Wie der Beschwerdeführer heute nicht mehr bestreitet, liegt in der Entziehung einer solchen arbeitserleichternden Einrichtung eine wirtschaftliche Schädigung. Da sie, wie das Kantonsgericht verbindlich feststellt ( Art. 277 bis Abs. 1 BStP ), vom Vorsatz des Beschwerdeführers, die Stange wegzunehmen und nicht mehr herauszugeben, mitumfasst war, ist er mit Recht der Sachentziehung schuldig erklärt worden. BGE 96 IV 21 S. 23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