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124</w:t>
      </w:r>
    </w:p>
    <w:p>
      <w:r>
        <w:t>Bundesgericht (BGE), 1970-01-01, DE</w:t>
      </w:r>
    </w:p>
    <w:p>
      <w:r>
        <w:rPr>
          <w:b/>
        </w:rPr>
        <w:t xml:space="preserve">Quelle: </w:t>
      </w:r>
      <w:r>
        <w:t>https://mcp.opencaselaw.ch/entscheid/bge_BGE_96_IV_124</w:t>
      </w:r>
    </w:p>
    <w:p>
      <w:r>
        <w:t>FR: ATF 96 IV 124</w:t>
      </w:r>
    </w:p>
    <w:p>
      <w:r>
        <w:t>IT: DTF 96 IV 124</w:t>
      </w:r>
    </w:p>
    <w:p>
      <w:pPr>
        <w:pStyle w:val="Heading2"/>
      </w:pPr>
      <w:r>
        <w:t>Regeste</w:t>
      </w:r>
    </w:p>
    <w:p>
      <w:r>
        <w:t>Regeste 1. Art. 14 Abs. 5 VRV. Diese Vorschrift ist nicht anwendbar auf den Fall, wo zwei auf gleicher Fahrbahn nebeneinander bestehende Geradeausspuren sich zu einer in gleicher Richtung sich fortsetzenden Fahrspur vereinigen (Erw. 1). 2. Art. 34 Abs. 3 SVG. Weist eine Strasse eine bestimmte Anzahl Fahrspuren auf, die nacheiner unmarkierten Teilstrecke beibehalten werden, so wechselt ein Fahrzeugführer die Richtung nicht, wenn er vor und nach dem unmarkierten Teilstück - und zwar ohne Rücksicht auf dessen Verlauf - die gleiche Spur benützt (Erw. 2).</w:t>
      </w:r>
    </w:p>
    <w:p>
      <w:r>
        <w:t>Regeste 1. Art. 14 al. 5 OCR. Cette disposition n'est pas applicable au cas où deux voies réservées à la direction tout droit, marquées l'une à côté de l'autre sur la même chaussée, se réunissent en une seule, continuant dans la même direction (consid. 1). 2. Art. 34 al. 3 LCR. Si une route présente un certain nombre de voies, qui subsistent après un tronçon dépourvu de marques, un conducteur ne change pas de direction, s'il emprunte la même voie avant et après le tronçon dépourvu de marques - et cela sans égard au tracé de celui-ci (consid. 2).</w:t>
      </w:r>
    </w:p>
    <w:p>
      <w:r>
        <w:t>Regesto 1. Art. 14 cpv. 5 OCStr. Questa disposizione non è applicabile al caso in cui due corsie riservate alla direzione diritta, e segnate l'una accanto all'altra sulla stessa carreggiata, si riuniscono in una sola, che continua nella stessa direzione (consid. 1). 2. Art. 34 cpv. 3 LCStr. Quando una strada presenta un certo numero di corsie, che sussistono dopo un tratto sprovvisto di segni, un conducente non cambia direzione se utilizza la stessa corsia prima e dopo il tratto non segnato, e ciò senza riguardo al tracciato di questo (consid. 2).</w:t>
      </w:r>
    </w:p>
    <w:p>
      <w:pPr>
        <w:pStyle w:val="Heading2"/>
      </w:pPr>
      <w:r>
        <w:t>Erwägungen</w:t>
      </w:r>
    </w:p>
    <w:p>
      <w:r>
        <w:rPr>
          <w:b/>
        </w:rPr>
        <w:t>E. 1</w:t>
      </w:r>
    </w:p>
    <w:p>
      <w:r>
        <w:t>Die Vorinstanz hat den Tatbestand unter Art. 14 Abs. 5 VRV subsumiert, während das Polizeirichteramt Art. 34 Abs. 3 SVG angewendet sehen möchte. Nach Art. 14 Abs. 5 VRV haben die Fahrzeugführer "in nicht geregelten Fällen", z.B. wenn auf einer Verzweigung zugleich aus allen Richtungen Fahrzeuge eintreffen, besonders vorsichtig zu fahren und sich über den Vortritt zu verständigen. Mit dem Hinweis auf die nicht geregelten Fälle sind nicht irgendwelche im Gesetz oder in der Verordnung nicht besonders berücksichtigte Verkehrslagen, sondern bloss die nicht BGE 96 IV 124 S. 128 geordneten Fälle des Vortritts gemeint. Das erhellt schon aus dem Wortlaut der Bestimmung, die ausdrücklich eine Verständigung über den Vortritt verlangt, ergibt sich aber auch aus dem Randtitel der Vorschrift (Ausübung des Vortritts) sowie aus dem Umstand, dass Art. 14 VRV eine Ausführungsbestimmung zu Art. 36 SVG ist, der in den Absätzen 2-4 den Vortritt auf Strassenverzweigungen, beim Linksabbiegen und beim Einfügen, Wenden oder Rückwärtsfahren ordnet. Die Anwendbarkeit des Art. 14 Abs. 5 VRV auf den vorliegenden Fall hängt somit davon ab, ob in casu überhaupt ein Vortrittsrecht in Frage steht. Geht man von dem durch die Vorinstanz verbindlich festgestellten Sachverhalt aus, so können entsprechend der Spurenmarkierung vor der Kreuzung Luggwegstrasse/Baslerstrasse Fahrzeuge aus der reinen Geradeausspur, aber auch aus dem linken, mit dem Doppelpfeil versehenen Fahrstreifen ihre Fahrt in gerader Richtung fortsetzen, also in parallelen Kolonnen die nichtmarkierte Strecke zwischen jener Kreuzung und der Spurenmarkierung vor der Kreuzung Luggwegstrasse/Badenerstrasse durchfahren. Vor der Spurenmarkierung dieser zweiten Kreuzung müssen sich je nach der beabsichtigten Fahrrichtung die beiden Kolonnen auf drei Spuren aufteilen. Soweit Fahrzeugführer beider Kolonnen die mittlere Geradeausspur wählen, kann dies gleich wie im Falle der Verengung einer bisher zweispurigen Fahrbahnhälfte zu einer einspurigen nur durch eine Verflechtung der zwei Kolonnen zu einer einzigen geschehen. Dabei wäre denkbar, dass man einer Kolonne gegenüber der andern den Vortritt einräumen würde, indem etwa gemäss der Regelung bei Strassenverzweigungen ( Art. 36 Abs. 2 SVG ) der rechten Kolonne ein Vortrittsrecht gegenüber der linken zugestanden oder entsprechend der Bestimmung des Art. 44 SVG diejenige Kolonne als vortrittsberechtigt angesehen würde, die ihre Fahrt im bisherigen Fahrstreifen fortsetzen kann, ohne zum Einfahren in die eine Geradeausspur von der bisherigen Geraden nach links oder nach rechts abweichen zu müssen. Indessen sieht das Gesetz für die Verkehrslage, wie sie sich im vorliegenden Fall darbietet, eine solche Regelung weder ausdrücklich noch sinngemäss vor. Die Vereinigung von zwei auf gleicher Fahrbahn nebeneinander bestehenden Geradeausspuren zu einer in gleicher Richtung sich fortsetzenden BGE 96 IV 124 S. 129 Spur kann nicht einer Strassenverzweigung gleichgestellt werden, und was Art. 44 SVG anbelangt, so betrifft er den Wechsel von Fahrstreifen bzw. Fahrspuren. Sturzenegger hat nicht von einer sich weiter fortsetzenden Geradeausspur in eine andere parallel dazu verlaufende Spur hinübergewechselt. Vielmehr verhielt es sich so, dass zwei bisherige Fahrspuren sich zu einer einzigen verschmolzen, also vor der neuen Markierung die alten Spuren zu bestehen aufhörten und Sturzenegger deswegen leicht nach links halten musste, um den Weg in die eine neue Geradeausspur zu finden. Angesichts der Besonderheit dieser Verkehrslage sind die Fahrzeuge in beiden Streifen bzw. Spuren als gleichberechtigt anzusehen und ein Vortrittsrecht der einen Kolonne gegenüber der andern ist zu verneinen. Das gilt auch dann, wenn ein Fahrzeug der einen Spur gegenüber den Wagen der andern Spur einen gewissen Vorsprung hat; an der Tatsache der Mehrspurigkeit des Verkehrs ändert dieser Umstand nichts. Somit ist Art. 14 Abs. 5 VRV , der eine allgemeine Bestimmung für nicht geregelte Fälle des Vortritts betrifft, auf den vorliegenden Fall nicht anwendbar.</w:t>
      </w:r>
    </w:p>
    <w:p>
      <w:r>
        <w:rPr>
          <w:b/>
        </w:rPr>
        <w:t>E. 2</w:t>
      </w:r>
    </w:p>
    <w:p>
      <w:r>
        <w:t>In Anlehnung an ein nicht veröffentlichtes Urteil des Obergerichts des Kantons Zürich vom 9. September 1968 i.S. Bill stellte der Einzelrichter in Strafsachen des Bezirksgerichtes Zürich in seinem Entscheid auf das geometrische Verhältnis der Spuren vor den zwei Kreuzungen ab und führte aus, der Benützer der reinen Geradeausspur vor der Kreuzung Europabrücke/Baslerstrasse, der in die Geradeausspur der Luggwegstrasse einfahre, verschiebe sein Fahrzeug um ungefähr eine Fahrspurbreite nach links und nehme demnach einen Wechsel des Fahrstreifens vor, was zu besonderer Aufmerksamkeit gegenüber den andern Verkehrsteilnehmern verpflichte. Die Vorinstanz gibt in ihrem Entscheid den im genannten Urteil eingenommenen Standpunkt auf mit der Begründung, das geometrisch geradlinige Einteilen der Fahrspuren zur Beurteilung, wer im nichtmarkierten Strassenstück zwischen den zwei ersten Kreuzungen welche Spur innehabe, sei ungeeignet und verfehlt. Auf Grund des Augenscheines ergebe sich vielmehr, dass die drei Fahrspuren der Luggwegstrasse die Fortsetzung der drei Spuren der Europabrücke darstellten. In der Tat ist nicht entscheidend, ob und welche Spuren ungeachtet des Strassenverlaufs sich geometrisch in einer angenommenen Geraden von der Europabrücke zur Luggwegstrasse fortsetzen, BGE 96 IV 124 S. 130 sondern ausschlaggebend ist der Umstand, dass die Fahrspuren dem natürlichen Verlauf der Strasse zu folgen haben. Daraus ergibt sich, dass sich alle drei Fahrspuren der Europabrücke nach der ersten Kreuzung - bedingt durch die Biegung der Strasse - auf dem nichtmarkierten Abschnitt nach links verschieben. Somit nimmt der die mittlere reine Geradeausspur benützende Fahrzeugführer keine Richtungsänderung, insbesondere keinen Fahrspurwechsel vor, wenn er in die mittlere Geradeausspur der Luggwegstrasse einfährt. Gerade so verhielt es sich aber im vorliegenden Fall. Sturzenegger führte seinen Wagen von der mittleren Geradeausspur der Europabrücke über die Baslerstrasse in die mittlere Geradeausspur der Luggwegstrasse. Wenn er auf der nichtmarkierten Strecke zwischen den beiden Kreuzungen leicht nach links hielt, so entsprach das dem natürlichen Verlauf der an dieser Stelle eine Biegung beschreibenden Strasse und Sturzenegger vollzog keine Richtungsänderung. Anders wäre es gewesen, wenn der Beschwerdegegner seinen Wagen vor der Kreuzung Luggwegstrasse/Badenerstrasse in die linke oder rechte Spur gelenkt hätte. In diesem Fall wäre er nicht mehr dem Strassenverlauf gefolgt, sondern hätte den Fahrstreifen gewechselt und damit eine Richtungsänderung vorgenommen. Es ändert übrigens nichts, dass er die ausgeführte Fahrbewegung nach links mittels des linken Blinkers anzeigte. Nachdem er die Fahrrichtung nicht geändert hatte, war er dazu ohnehin nicht verpflichtet. Von einer Verletzung der Art. 34 Abs. 3 oder 44 SVG kann demnach nicht die Rede sein, und Sturzenegger hat sich keiner Verkehrsregelverletzung schuldig gemacht. Insbesondere musste er nicht damit rechnen, dass der drei Wagenlängen hinter ihm aus der linken Spur vor der Kreuzung Luggwegstrasse/Baslerstrasse herausfahrende Frei in der mittleren Spur stark beschleunigen werde und nicht mehr rechtzeitig hinter Sturzeneggers Wagen anhalten könne.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