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106</w:t>
      </w:r>
    </w:p>
    <w:p>
      <w:r>
        <w:t>Bundesgericht (BGE), 1970-01-01, FR</w:t>
      </w:r>
    </w:p>
    <w:p>
      <w:r>
        <w:rPr>
          <w:b/>
        </w:rPr>
        <w:t xml:space="preserve">Quelle: </w:t>
      </w:r>
      <w:r>
        <w:t>https://mcp.opencaselaw.ch/entscheid/bge_BGE_96_IV_106</w:t>
      </w:r>
    </w:p>
    <w:p>
      <w:r>
        <w:t>FR: ATF 96 IV 106</w:t>
      </w:r>
    </w:p>
    <w:p>
      <w:r>
        <w:t>IT: DTF 96 IV 106</w:t>
      </w:r>
    </w:p>
    <w:p>
      <w:pPr>
        <w:pStyle w:val="Heading2"/>
      </w:pPr>
      <w:r>
        <w:t>Regeste</w:t>
      </w:r>
    </w:p>
    <w:p>
      <w:r>
        <w:t>Regeste Art. 44 StGB. Erwecken die Tatumstände den Verdacht, der Verurteilte sei ein Gewohnheitstrinker, so darf sich der Richter nicht damit begnügen, den Entscheid über die Einweisung in eine Trinkerheilanstalt der Verwaltungsbehörde zu überlassen. Er muss vielmehr untersuchen, ob die Voraussetzungen des Art. 44 StGB erfüllt sind.</w:t>
      </w:r>
    </w:p>
    <w:p>
      <w:r>
        <w:t>Regeste Art. 44 CP. Lorsque les faits de la cause font soupçonner que le prévenu est un buveur d'habitude, le juge ne peut se contenter de laisser à l'autorité administrative le soin de décider s'il doit être interné en raison de son alcoolisme. Il doit au contraire examiner si les conditions d'application de l'art. 44 CP sont remplies.</w:t>
      </w:r>
    </w:p>
    <w:p>
      <w:r>
        <w:t>Regesto Art. 44 CP. Quando le circostanze del caso fanno nascere il sospetto che il condannato sia un bevitore abituale, il giudice non può accontentarsi di lasciare all'autorità amministrativa il compito di decidere sul collocamento in un asilo per bevitori. Egli deve invece esaminare se i requisiti dell'art. 44 CP sono adempiuti.</w:t>
      </w:r>
    </w:p>
    <w:p>
      <w:pPr>
        <w:pStyle w:val="Heading2"/>
      </w:pPr>
      <w:r>
        <w:t>Erwägungen</w:t>
      </w:r>
    </w:p>
    <w:p>
      <w:r>
        <w:rPr>
          <w:b/>
        </w:rPr>
        <w:t>E. 2</w:t>
      </w:r>
    </w:p>
    <w:p>
      <w:r>
        <w:t>Le Tribunal de police de Genève avait admis que le recourant était un buveur d'habitude. Dans ces conditions, la Cour de justice ne pouvait se borner à confirmer la peine prononcée en première instance et refuser d'en surseoir l'exécution sans examiner si la mesure prévue à l'art. 44 CP était indiquée. Il ne suffisait pas à la cour cantonale de soumettre le cas à la Chambre des tutelles, qui est l'organe compétent, dans le canton de Genève, pour prononcer l'internement administratif des alcooliques. Bien que l'art. 6 de la loi sur le relèvement et l'internement des alcooliques du 18 juin 1927 prévoie qu'une condamnation judiciaire n'exclut pas l'internement dans un établissement pour alcooliques, la Chambre des tutelles n'a pas la faculté d'ajourner l'exécution de la peine de façon que le juge puisse par la suite, conformément à l'art. 44 ch. 3 CP, en ordonner l'exécution ou la remise partielle ou totale. L'art. 5 de cette loi l'autorise uniquement à surseoir, le cas échéant, à l'internement administratif. Or le condamné dont le renvoi dans un asile pour buveurs se justifie a le droit de savoir si l'exécution de la peine sera ou non suspendue. Il s'ensuit que le juge ne peut se contenter de laisser à l'autorité administrative le soin de décider si le condamné doit être interné en raison de son alcoolisme, lorsque les faits de la cause font soupçonner qu'il est un buveur d'habitude. Il doit au contraire examiner si les conditions d'application de l'art 44 CP sont remplies et, dans l'affirmative, apprécier s'il y a lieu de surseoir à l'exécution de la peine. Au lieu de se borner à saisir la Chambre des tutelles, la Cour de justice aurait donc dû BGE 96 IV 106 S. 108 procéder elle-même à cet examen. Il lui incombait d'ordonner un complément d'enquête si elle estimait n'être pas suffisamment renseignée sur la personne du recourant pour juger de l'application de l'art. 44 CP. L'arrêt entrepris doit dès lors être annulé et la cause renvoyée à l'autorité cantonale pour nouvelle decision.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