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424</w:t>
      </w:r>
    </w:p>
    <w:p>
      <w:r>
        <w:t>Bundesgericht (BGE), 1970-01-01, FR</w:t>
      </w:r>
    </w:p>
    <w:p>
      <w:r>
        <w:rPr>
          <w:b/>
        </w:rPr>
        <w:t xml:space="preserve">Quelle: </w:t>
      </w:r>
      <w:r>
        <w:t>https://mcp.opencaselaw.ch/entscheid/bge_BGE_96_II_424</w:t>
      </w:r>
    </w:p>
    <w:p>
      <w:r>
        <w:t>FR: ATF 96 II 424</w:t>
      </w:r>
    </w:p>
    <w:p>
      <w:r>
        <w:t>IT: DTF 96 II 424</w:t>
      </w:r>
    </w:p>
    <w:p>
      <w:pPr>
        <w:pStyle w:val="Heading2"/>
      </w:pPr>
      <w:r>
        <w:t>Regeste</w:t>
      </w:r>
    </w:p>
    <w:p>
      <w:r>
        <w:t>Regeste Art. 48 Abs. 1 OG. Begriff des Endentscheides. Kein solcher ist der Entscheid, der den Beklagten verpflichtet, bis zur gerichtlichen Entscheidung über die Klage, mit welcher die Kläger die Zahlung verschiedener Forderungen verlangen, zugunsten der Kläger Sicherheiten zu bestellen.</w:t>
      </w:r>
    </w:p>
    <w:p>
      <w:r>
        <w:t>Regeste Art. 48 al. 1 OJ. Notion de la décision finale. L'arrêt qui condamne le défendeur à constituer des garanties en faveur des demandeurs jusqu'à droit connu sur le procès au fond dans lequel ceux-ci ont conclu au paiement de diverses créances n'est pas une décision finale.</w:t>
      </w:r>
    </w:p>
    <w:p>
      <w:r>
        <w:t>Regesto Art. 48 cpv. 1 OG. Nozione di decisione finale. Non è tale la decisione che condanna il convenuto a costituire garanzie a favore degli attori fino alla decisione giudiziale dell'azione con la quale questi ultimi hanno chiesto il pagamento di diversi crediti.</w:t>
      </w:r>
    </w:p>
    <w:p>
      <w:pPr>
        <w:pStyle w:val="Heading2"/>
      </w:pPr>
      <w:r>
        <w:t>Erwägungen</w:t>
      </w:r>
    </w:p>
    <w:p>
      <w:r>
        <w:rPr>
          <w:b/>
        </w:rPr>
        <w:t>E. 1</w:t>
      </w:r>
    </w:p>
    <w:p>
      <w:r>
        <w:t>S'il est recevable, le recours en réforme suspend l'exécution de la décision attaquée dans la mesure des conclusions formulées (art. 54 al. 2 in fine OJ). La demande d'effet suspensif est ainsi sans objet.</w:t>
      </w:r>
    </w:p>
    <w:p>
      <w:r>
        <w:rPr>
          <w:b/>
        </w:rPr>
        <w:t>E. 2</w:t>
      </w:r>
    </w:p>
    <w:p>
      <w:r>
        <w:t>Pour que le recours en réforme soit recevable, il faut, en vertu de l'art. 48 al. 1 OJ, qu'il vise une décision finale, c'est-à-dire un prononcé qui met définitivement fin au procès, soit qu'il tranche le fond, soit que, sans l'aborder parce qu'une condition de procédure n'est pas remplie, il ne permette plus à l'intéressé d'exercer son action (RO 93 II 285 consid. 2 et les arrêts cités). Selon la jurisprudence, les décisions rendues en matière d'inscription provisoire d'une hypothèque légale d'entrepreneur (RO 40 II 199, 43 II 458; arrêt non publié Bissig c. Einwohnergemeinde der Stadt Grenchen, du 30 octobre 1969, consid. 2) et celles qui ordonnent des mesures provisionnelles (RO 85 II 195, 289, 86 II 294) ne sont pas des décisions finales. En l'espèce, la Chambre des recours du Tribunal cantonal vaudois a condamné le défendeur à constituer immédiatement en faveur des demandeurs "jusqu'à droit connu sur le procès au fond qui divise les parties des garanties équivalentes à celles qu'il leur a fournies pour tenir lieu d'inscription provisoire d'hypothèques légales des artisans et entrepreneurs". Selon cet arrêt, les garanties devront subsister jusqu'à droit connu sur le procès au fond qui divise les parties. Aussi deviendrontelles caduques à ce moment-là, à moins que la Cour civile du Tribunal cantonal vaudois en ordonne le maintien pour assurer le paiement des créances, actuellement litigieuses, dont elle admettrait le bien-fondé. Cela suppose qu'elle soit saisie de conclusions prises dans ce sens. Or, à cet égard, les demandeurs ont simplement conclu dans l'action qu'ils ont intentée au défendeur à ce que la validité des garanties qu'il leur avait fournies soit prolongée jusqu'à droit connu sur le procès au fond. Quoi qu'il en soit, l'arrêt attaqué ne tranche pas de façon définitive la question de savoir si le défendeur est tenu de constituer des sûretés en vue de garantir le paiement de créances dont le bien-fondé serait admis par la Cour civile du Tribunal cantonal vaudois. En le condamnant à fournir des garanties BGE 96 II 424 S. 428 jusqu'à droit connu sur le procès au fond, la Chambre des recours du Tribunal cantonal vaudois a donc ordonné une mesure provisionnelle et n'a pas rendu un jugement au fond. Son arrêt ne constitue dès lors pas une décision finale au sens de l'art. 48 al. 1 OJ. D'autre part, le présent recours en réforme ne saurait être examiné comme un recours en nullité. Le recourant n'invoque en effet, et avec raison, aucun des motifs de nullité prévus à l'art. 68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