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115</w:t>
      </w:r>
    </w:p>
    <w:p>
      <w:r>
        <w:t>Bundesgericht (BGE), 1970-01-01, DE</w:t>
      </w:r>
    </w:p>
    <w:p>
      <w:r>
        <w:rPr>
          <w:b/>
        </w:rPr>
        <w:t xml:space="preserve">Quelle: </w:t>
      </w:r>
      <w:r>
        <w:t>https://mcp.opencaselaw.ch/entscheid/bge_BGE_96_II_115</w:t>
      </w:r>
    </w:p>
    <w:p>
      <w:r>
        <w:t>FR: ATF 96 II 115</w:t>
      </w:r>
    </w:p>
    <w:p>
      <w:r>
        <w:t>IT: DTF 96 II 115</w:t>
      </w:r>
    </w:p>
    <w:p>
      <w:pPr>
        <w:pStyle w:val="Heading2"/>
      </w:pPr>
      <w:r>
        <w:t>Regeste</w:t>
      </w:r>
    </w:p>
    <w:p>
      <w:r>
        <w:t>Regeste Kauf, Verjährung. Art. 97, 127 und 197 OR. Die Vereinbarung über eine "komplett neutrale Verpackung" ist grundsätzlich keine Zusicherung nach Art. 197 OR, sondern eine den Vertrag ergänzende selbständige Nebenabrede über die Geheimhaltungspflicht des Verkäufers. Ihre Verletzung führt zu einem Schadenersatzanspruch (Art. 97 OR), der nach Art. 127 OR in 10 Jahren verjährt (Erw. 2).</w:t>
      </w:r>
    </w:p>
    <w:p>
      <w:r>
        <w:t>Regeste Vente, prescription. Art. 97, 127 et 197 CO. La clause "komplett neutrale Verpackung" n'implique pas une garantie de la qualité promise au sens de l'art. 197 CO; elle constitue un accord accessoire indépendant, complémentaire au contrat et relatif au devoir de secret du vendeur. La violation en est par conséquent sanctionnée par une action en dommages-intérêts (art. 97 CO) qui est soumise à la prescription décennale de l'art. 127 CO (consid. 2).</w:t>
      </w:r>
    </w:p>
    <w:p>
      <w:r>
        <w:t>Regesto Compravendita, prescrizione. Art. 97, 127 e 197 CO. La clausola concernente un "imballaggio completamente neutrale" non è, di massima, una garanzia della qualità promessa ai sensi dell'art. 197 CO; essa costituisce invece un accordo accessorio e indipendente, ma che completa il contratto, circa l'obbligo di segreto del venditore. La violazione di tale clausola è di conseguenza sanzionata dall'azione di risarcimento (art. 97 CO), che si prescrive in 10 anni giusta l'art. 127 CO (consid. 2).</w:t>
      </w:r>
    </w:p>
    <w:p>
      <w:pPr>
        <w:pStyle w:val="Heading2"/>
      </w:pPr>
      <w:r>
        <w:t>Erwägungen</w:t>
      </w:r>
    </w:p>
    <w:p>
      <w:r>
        <w:rPr>
          <w:b/>
        </w:rPr>
        <w:t>E. 1</w:t>
      </w:r>
    </w:p>
    <w:p>
      <w:r>
        <w:t>(Prozessuales).</w:t>
      </w:r>
    </w:p>
    <w:p>
      <w:r>
        <w:rPr>
          <w:b/>
        </w:rPr>
        <w:t>E. 2</w:t>
      </w:r>
    </w:p>
    <w:p>
      <w:r>
        <w:t>Nach der Rechtsprechung des Bundesgerichts unterliegen die aus Mängeln der Kaufsache abgeleiteten Schadenersatzansprüche den kürzern Verjährungsfristen des Gewährleistungsrechts, und ist daher auch die Prüfung und Mängelrüge nach Art. 201 OR erforderlich (vgl. BGE 58 II 212 /13, BGE 63 II 405 Erw. 3 a, BGE 77 II 249 ). Die Vorinstanz betrachtet die Verpackung als Mangel der Kaufsache selbst, weil sie die japanische Herkunft des Blechs verrate und für beide Parteien erkennbar dessen Verkäuflichkeit beeinträchtige. Sie hat daher den streitigen Anspruch nach den Vorschriften über die Sachmängelgewähr beurteilt und die Klage mit Rücksicht darauf abgewiesen, dass der Kläger die Lieferung im Dezember 1964 in Empfang genommen habe und erst nach Ablauf der einjährigen Verjährungsfrist des Art. 210 OR an den Friedensrichter gelangt sei. a) Der Kläger macht geltend, diese Auslegung verstosse gegen Bundesrecht, da Art. 197 OR sich nur auf die Mängel der Kaufsache (vgl. Randtitel) beziehe, somit die unrichtige Nebenleistung der mangelhaften Hauptleistung gleichzusetzen verbiete. Selbst wenn man Art. 197 OR den vom Obergericht befürworteten Geltungsbereich einräumen wollte, ist nach Ansicht des Klägers die Verwendung von gezeichnetem Packpapier nicht als Mangel im Sinne des Gewährleistungsrechts, sondern als Lieferung einer andern Sache zu verstehen. Damit vertritt er sinngemäss die Auffassung, die Beklagte habe den Vertrag nicht richtig erfüllt ( Art. 97 ff. OR ) und der streitige Ersatzanspruch unterliege der zehnjährigen Verjährungsfrist des Art. 127 OR . b) Ob der Kläger Schadenersatz nach den Vorschriften über die Gewährleistung beim Kauf ( Art. 197 ff. OR ) oder der BGE 96 II 115 S. 118 unrichtigen Erfüllung des Vertrages ( Art. 97 ff. OR ) beanspruchen kann, hängt davon ab, ob die Verpackung zur Ware selbst zu rechnen ist (OSER/SCHÖNENBERGER, N. 12 zu Art. 197 OR ). Das ist nach der deutschen Lehre und Rechtsprechung (vgl. RGZ 59 Nr. 36 S. 123 ff.; STAUDINGER, 11. Aufl. 1955 N. 40 zu § 459 BGB; SOERGEL/SIEBERT, Schuldrecht I 10. Aufl. 1967 N. 21 zu § 459 BGB) dann der Fall, wenn die Verpackung mitverkauft ist oder wenn sie nicht bloss der Versendung der Ware dient, sondern ein Mittel zu ihrer Erhaltung, Brauchbarkeit oder Verkäuflichkeit ist. Die Regeln über die Gewährleistung greifen somit Platz, wenn sich eine körperlich mangelhafte Verpackung auf den Zustand des Kaufgegenstandes auswirkt. Im vorliegenden Fall führt indessen der Kläger die mit der Umpackung der Blechtafeln entstandene Kosten nicht auf eine schadhafte Verpackung, sondern auf die angeblich abredewidrige Ausstattung des Packpapiers zurück. Nach einem Entscheid des Reichsgerichts (RGZ 130 Nr. 79 S. 379 ff.) kann die Vereinbarung über eine neutrale Ausstattung der Verpackung den Regeln über die Zusicherung einer Eigenschaft unterstellt werden. Das treffe etwa dann zu, wenn die verkaufte Sache nicht zur Weiterveräusserung bestimmt sei und der Käufer aus ästhetischen Gründen die Bezeichnung des Herstellers auf der Ware vertraglich ausgeschlossen habe. Dasselbe gelte, wenn die verkaufende und die kaufende Gesellschaft unmittelbar vor der Verschmelzung stünden und die neutrale Ausstattung im Hinblick auf die neue Firma, deren Wahlnoch Schwierigkeiten bereite, vereinbart worden sei. Das seien allerdings seltene Ausnahmen. In der Regel verfolge die Abrede den Zweck, die Herkunft der Ware zu verschleiern (a.a.O. S. 381). Die Beklagte hält im Berufungsverfahren daran fest, die Abrede "komplett neutrale Verpackung" bezwecke nur, den Namen des Herstellers der Ware geheim zu halten. Das trifft hier nicht zu. Aus dem erwähnten Schreiben vom 22. Juni 1964 geht unmissverständlich hervor, dass der Kläger besondern Wert darauf legte, die Herkunft des für den Wiederverkauf bestimmten Stahlblechs schlechthin geheimzuhalten. Die neutrale Ausstattung des Verpackungspapiers war somit nicht eine zugesicherte Eigenschaft im Sinne des Art. 197 OR , sondern eine den Kaufvertrag ergänzende selbständige Nebenabrede BGE 96 II 115 S. 119 über die Geheimhaltungspflicht der Beklagten. Das ergibt sich denn auch daraus, dass die dem Gewährleistungsrecht eigenen Rechtsbehelfe wie Wandelung, Minderung oder Ersatzlieferung ohne weiteres ausscheiden und nur ein Schadenersatzanspruch wegen Nichterfüllung im Sinne der Art. 97 ff. OR in Betracht fällt. Damit stellt sich die Frage nicht, ob der Kläger die Verletzung der mitvereinbarten Geheimhaltungspflicht nach Art. 201 OR gerügt, sondern ob er den Schadenersatzanspruch fristgemäss geltend gemacht hat (vgl. RGZ, a.a.O. S. 381/82). Dieser untersteht der zehnjährigen Verjährungsfrist des Art. 127 OR , weshalb die Verjährungseinrede der Beklagten zu verwerfen ist. Das angefochtene Urteil ist daher aufzuheben und die Sache an die Vorinstanz zurückzuweisen, damit sie den streitigen Ersatzanspruch materiell beurteile.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