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107</w:t>
      </w:r>
    </w:p>
    <w:p>
      <w:r>
        <w:t>Bundesgericht (BGE), 1970-12-22, DE</w:t>
      </w:r>
    </w:p>
    <w:p>
      <w:r>
        <w:rPr>
          <w:b/>
        </w:rPr>
        <w:t xml:space="preserve">Quelle: </w:t>
      </w:r>
      <w:r>
        <w:t>https://mcp.opencaselaw.ch/entscheid/bge_BGE_96_III_107</w:t>
      </w:r>
    </w:p>
    <w:p>
      <w:r>
        <w:t>FR: ATF 96 III 107</w:t>
      </w:r>
    </w:p>
    <w:p>
      <w:r>
        <w:t>IT: DTF 96 III 107</w:t>
      </w:r>
    </w:p>
    <w:p>
      <w:pPr>
        <w:pStyle w:val="Heading2"/>
      </w:pPr>
      <w:r>
        <w:t>Regeste</w:t>
      </w:r>
    </w:p>
    <w:p>
      <w:r>
        <w:t>Regeste Arrestvollzug. 1. Beschwerdelegitimation Dritter (Erw. 1). 2. Zulässigkeit, Arrest auf Sachen und Guthaben zu legen, die dem Schuldner gehören, dem Namen nach aber Dritten zustehen (Erw. 2 und 3). 3. Anforderungen an die Spezifikation der Gegenstände im Arrestbefehl (Art. 274 Ziffer 4 SchKG) und in der Arrestnotifikation. Pflichten der Drittschuldnerin (Bank) (Erw. 3).</w:t>
      </w:r>
    </w:p>
    <w:p>
      <w:r>
        <w:t>Regeste Exécution du séquestre. 1. Qualité de tiers pour porter plainte (consid. 1). 2. Admissibilité du séquestre portant sur des objets et des avoirs qui appartiennent en réalité au débiteur et nominalement à des tiers (consid. 2 et 3). 3. Exigences quant à la désignation des objets dans l'ordonnance de séquestre et la notification de celui-ci. Devoirs du tiers débiteur (une banque) (consid. 3).</w:t>
      </w:r>
    </w:p>
    <w:p>
      <w:r>
        <w:t>Regesto Esecuzione del sequestro. 1. Veste di terzi ad interporre reclamo (consid. 1). 2. Ammissibilità del sequestro che concerne oggetti ed averi appartenenti in realtà al debitore, ma nominalmente a terzi (consid. 2 e 3). 3. Requisiti inerenti alla designazione degli oggetti nel decreto di sequestro (art. 274 num. 4 LEF) e nella sua notificazione. Doveri del terzo debitore (una banca) (consid. 3).</w:t>
      </w:r>
    </w:p>
    <w:p>
      <w:pPr>
        <w:pStyle w:val="Heading2"/>
      </w:pPr>
      <w:r>
        <w:t>Erwägungen</w:t>
      </w:r>
    </w:p>
    <w:p>
      <w:r>
        <w:rPr>
          <w:b/>
        </w:rPr>
        <w:t>E. 1</w:t>
      </w:r>
    </w:p>
    <w:p>
      <w:r>
        <w:t>Wie die Vorinstanzen richtig erkannt haben, bildet nicht der Arrestbefehl Gegenstand der Beschwerde, sondern dessen Vollzug, indem nämlich die Rekurrentin verlangt, es sei die Arrestnotifikation als Vollzugshandlung aufzuheben, allenfalls einzuschränken. Während nun gegen den Arrestbefehl selber keine Beschwerde möglich ist ( Art. 279 Abs. 1 SchKG ), haben Lehre und Rechtsprechung eine solche gegen den Arrestvollzug anerkannt ( BGE 64 III 129 , BGE 75 III 26 , BGE 82 III 69 , BGE 88 III 141 /142; JAEGER N 1 zu Art. 275 SchKG , FRITZSCHE, Schuldbetreibung und Konkurs, Bd. II 2. A. S. 220). Fraglich ist bloss, ob das Beschwerderecht ausser den Parteien (dem Arrestgläubiger und dem Arrestschuldner) auch Dritten zustehen könne. Das Bundesgericht hat dies in einem Falle ( BGE 80 III 124 f.) zugunsten einer Bank, die Schuldnerin des Arrestschuldners war, bejaht, weil der Vollzug des Arrestes stark in ihren Geschäftsbetrieb eingriff. - In einer ähnlichen Lage befindet sich im vorliegenden Falle die Rekurrentin: Auch wenn sie bei Befolgung der Arrestnotifikation keineswegs gezwungen wäre, im Extremfalle sämtliche bei ihr bestehenden Konti, Depots, Tresorfächer usw. zu sperren, wie sie behauptet, so ist doch die Art des Arrestvollzuges geeignet, wesentliche Eingriffe in ihre Interessen zu bringen. Die kantonalen Aufsichtsbehörden haben ihr deshalb zu Recht die Beschwerdelegitimation zuerkannt.</w:t>
      </w:r>
    </w:p>
    <w:p>
      <w:r>
        <w:rPr>
          <w:b/>
        </w:rPr>
        <w:t>E. 2</w:t>
      </w:r>
    </w:p>
    <w:p>
      <w:r>
        <w:t>Gemäss Art. 271 Abs. 1 SchKG sind nur Vermögensstücke des Schuldners mit Arrest zu belegen. Gegenstände, die einem Dritten gehören, dürfen nicht verarrestiert werden. Hingegen ist es zulässig, Arrest auf Sachen und Guthaben zu legen, die dem Schuldner gehören, dem Namen nach aber einem Dritten zustehen ( BGE 82 III 70 und 151; BGE 93 III 92 ). Wenn in einem solchen Falle der Schuldner behauptet, Eigentümer oder Gläubiger der Sachen und Forderungen sei ein Dritter, oder wenn der Dritte selber diese Rechte beansprucht, so ist das noch kein Grund, den Arrestvollzug einzustellen oder aufzuheben; es gibt dies lediglich Anlass zur Einleitung eines Widerspruchsverfahrens ( Art. 106-109 SchKG ), welches zur Abklärung der angeblichen Rechte des Dritten dient (vgl. die zit. Entscheide). Diese Grundsätze, die unbestritten sind, haben die Vorinstanzen BGE 96 III 107 S. 110 nicht verkannt, und es besteht kein Grund, heute davon abzuweichen.</w:t>
      </w:r>
    </w:p>
    <w:p>
      <w:r>
        <w:rPr>
          <w:b/>
        </w:rPr>
        <w:t>E. 3</w:t>
      </w:r>
    </w:p>
    <w:p>
      <w:r>
        <w:t>Die Rekurrentin macht indessen geltend, es sei im vorliegenden Falle gar nicht behauptet worden, die Arrestschuldnerin sei Gläubigerin von unter fremdem Namen gehaltenen Guthaben. Die im Arrestbefehl verwendete Formulierung "Guthaben der Arrestschuldnerin ... in fremden Namen" sei in sich widersprüchlich und unverständlich, jedenfalls nicht genügend klar, um den Schluss aufeine solche Behauptung zuzulassen. Auch fehle es an der namentlichen Bezeichnung der Drittpersonen, deren Guthaben verarrestiert werden sollten, so dass sich diese Guthaben überhaupt nicht spezifizieren liessen; Arrestbefehl und -notifikation seien deshalb unvollständig und unvollziehbar. Nun kann aber der vorliegende Arrestbefehl sinnvoll nur so ausgelegt werden, dass der Gläubiger Arrest auf Guthaben legen will, die der Schuldnerin gehören, dem Namen nachjedoch Dritten zustehen. Wenn nämlich der Arrestbefehl von Guthaben der Arrestschuldnerin spricht, welche auf fremde Namen lauteten, so liegt darin die Behauptung, diese Guthaben gehörten nicht Drittpersonen, sondern der Arrestschuldnerin. Damit sind die Rechte Dritter bestritten, und nur ein Widerspruchsverfahren vermag deren allfällige Gläubigereigenschaft abzuklären (vgl. BGE 82 III 70 , BGE 93 III 92 ). Strengere Anforderungen an die Spezifikation der Gegenstände im Arrestbefehl ( Art. 274 Ziff. 4 SchKG ) und in der Arrestnotifikation stellen hiesse die Möglichkeit von Arrestnahmen, insbesondere der Gattungsarreste (die die Rekurrentin selber als zulässig bezeichnet), erheblich einschränken; denn es ist - wenigstens für die Grosszahl der Fälle - nicht ersichtlich, auf welche Weise der Arrestgläubiger die Rechtsverhältnisse näher umschreiben könnte, denen zufolge der Arrestschuldner, und nicht der Dritte, als Eigentümer oder Gläubiger zu gelten hätte. Schliesslich übertreibt die Rekurrentin stark, wenn sie von den Nachteilen und Risiken spricht, die die Arrestnahme bzw. Freigabe von Vermögenswerten ungenannter Drittpersonen mit sich bringe. Von ihr wird lediglich verlangt, dass sie jene Guthaben angebe bzw. sperre, von denen sie weiss oder wissen muss, dass sie dem Arrestschuldner gehören, auch wenn sie auf den Namen eines Dritten lauten. Insoweit ist der Arrestbefehl BGE 96 III 107 S. 111 weder unbestimmt noch unvollständig, somit auch nicht unvollziehbar. Der Rekurs ist deshalb abzuweisen.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