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6</w:t>
      </w:r>
    </w:p>
    <w:p>
      <w:r>
        <w:t>Bundesgericht (BGE), 1969-01-29, DE</w:t>
      </w:r>
    </w:p>
    <w:p>
      <w:r>
        <w:rPr>
          <w:b/>
        </w:rPr>
        <w:t xml:space="preserve">Quelle: </w:t>
      </w:r>
      <w:r>
        <w:t>https://mcp.opencaselaw.ch/entscheid/bge_BGE_95_I_6</w:t>
      </w:r>
    </w:p>
    <w:p>
      <w:r>
        <w:t>FR: ATF 95 I 6</w:t>
      </w:r>
    </w:p>
    <w:p>
      <w:r>
        <w:t>IT: DTF 95 I 6</w:t>
      </w:r>
    </w:p>
    <w:p>
      <w:pPr>
        <w:pStyle w:val="Heading2"/>
      </w:pPr>
      <w:r>
        <w:t>Regeste</w:t>
      </w:r>
    </w:p>
    <w:p>
      <w:r>
        <w:t>Regeste Kantonales Steuerrecht; Rückwirkung. Wann lässt sich die Rückwirkung eines Steuererlasses durch beachtenswerte triftige Gründe rechtfertigen und daher mit Art. 4 BV vereinbaren?</w:t>
      </w:r>
    </w:p>
    <w:p>
      <w:r>
        <w:t>Regeste Droit fiscal cantonal; rétroactivité. Quand la rétroactivité d'une loi fiscale est-elle justifiée par des motifs importants et, de ce fait, compatible avec l'art. 4 Cst.?</w:t>
      </w:r>
    </w:p>
    <w:p>
      <w:r>
        <w:t>Regesto Diritto tributario cantonale; retroattività. Quando l'effetto retroattivo d'una legge fiscale è giustificato da motivi importanti ed è pertanto compatibile con l'art. 4 CF?</w:t>
      </w:r>
    </w:p>
    <w:p>
      <w:pPr>
        <w:pStyle w:val="Heading2"/>
      </w:pPr>
      <w:r>
        <w:t>Erwägungen</w:t>
      </w:r>
    </w:p>
    <w:p>
      <w:r>
        <w:rPr>
          <w:b/>
        </w:rPr>
        <w:t>E. 1</w:t>
      </w:r>
    </w:p>
    <w:p>
      <w:r>
        <w:t>(Zulässigkeit der Beschwerde auch gegen den Zwischenentscheid des Regierungsrates vom 3. Juli 1967; BGE 93 I 454 ).</w:t>
      </w:r>
    </w:p>
    <w:p>
      <w:r>
        <w:rPr>
          <w:b/>
        </w:rPr>
        <w:t>E. 2</w:t>
      </w:r>
    </w:p>
    <w:p>
      <w:r>
        <w:t>In der rückwirkenden Anwendung des Wertzuwachssteuerbeschlusses der Gemeinde Oberkirch vom 16. April 1961 auf die Grundstückkaufverträge vom 28. März 1961 erblickt die Beschwerdeführerin in erster Linie eine Verletzung von Art. 11 der luzernischen Kantonsverfassung, welcher lautet: "Einkommen und Vermögen sind nach den Bestimmungen der Gesetzgebung zu versteuern". Allein wie das Bundesgericht schon 1921 entschieden hat, verweist diese Bestimmung lediglich die Ausgestaltung des Steuerrechtes auf den Weg des Gesetzes ( BGE 47 I 16 ). Ein verfassungsmässiges Recht des Bürgers begründet sie nicht. Daran ist festzuhalten. Die Beschwerde ist in diesem Punkte unbegründet.</w:t>
      </w:r>
    </w:p>
    <w:p>
      <w:r>
        <w:rPr>
          <w:b/>
        </w:rPr>
        <w:t>E. 3</w:t>
      </w:r>
    </w:p>
    <w:p>
      <w:r>
        <w:t>Die Beschwerdeführerin macht sodann geltend, die rückwirkende Anwendung des erwähnten Wertzuwachssteuerbeschlusses verletze Art. 4 BV . Wie in BGE 94 I 5 Erw. 3 dargelegt, lassen Rechtsprechung und Lehre die Rückwirkung von Verwaltungsgesetzen, die den Bürger belasten, nur zu, wenn sie - ausdrücklich angeordnet oder nach dem Sinn des Erlasses klar gewollt ist; - in zeitlicher Beziehung mässig ist; - zu keinen stossenden Rechtsungleichheiten führt; - sich durch beachtenswerte (triftige) Gründe rechtfertigen lässt; - nicht in wohlerworbene Rechte eingreift. Demgegenüber kommt es nach dem Entscheid des Regierungsrates vom 3. Juli 1967 für die rückwirkende steuerliche Erfassung von Grundstückverkäufen - neben der ausdrücklichen Einführung der Wertzuwachssteuer durch die Gemeinde und der Befristung ihrer Rückwirkung auf höchstens 1 Jahr gemäss § 32 StGN - allein darauf an, ob diese Verkäufe zur Vermeidung der Wertzuwachssteuer getätigt worden sind oder nicht. Nach Auffassung des Regierungsrates ist somit, abgesehen von der formrichtigen Einführung dieser Steuer und der dem Gesetz entsprechenden Befristung, für die Zulässigkeit rückwirkender BGE 95 I 6 S. 10 Anwendung der Wertzuwachssteuer ausschliesslich das fiskalische Interesse der Gemeinde massgebend. Andere Gründe als die Absicht der Beschwerdeführerin, die erwartete Wertzuwachssteuer zu vermeiden, werden denn auch zur Rechtfertigung der rückwirkenden Anwendung des Wertzuwachssteuerbeschlusses vom 16. April 1961 auf die vorliegenden Handänderungen vom 28. März 1961 nicht geltend gemacht. Das Vorliegen dieser Voraussetzung allein stellt indessen keinen beachtenswerten oder triftigen, die Rückwirkung rechtfertigenden Grund im Sinne der bundesgerichtlichen Rechtsprechung dar. Wie das Bundesgericht schon in BGE 61 I 92 - den Entscheid in BGE 47 I 15 präzisierend - festgestellt hat, hält eine Rückwirkungsklausel nicht schon deshalb vor Art. 4 BV stand, weil sie dem Steuergesetz beigefügt wurde, um seine Umgehung während der Zeitspanne der Gesetzesberatung zu verhindern. Vielmehr müssten sich für die Rückwirkung im einzelnen Falle weitere, beachtenswerte Gründe anführen lassen, wie z.B. die Dringlichkeit von Massnahmen zur Sanierung der Staatsfinanzen ( BGE 61 I 94 ). In BGE 77 I 191 (Erw. 6 b) wurde entschieden, eine Rückwirkungsklausel, welche einen Teil der Steuerpflichtigen der Möglichkeit beraube, durch kompensierende Kapitalverlustrealisationen die Wirkung einer neuen Einkommenssteuer ganz oder teilweise auszugleichen, sei mit Art. 4 BV unvereinbar. Damit wurde anerkannt, dass der Abschluss von an sich zulässigen Rechtsgeschäften zur Vermeidung einer bevorstehenden neuen Steuer schützenswert ist. In BGE 92 I 232 hat das Bundesgericht sodann ausgeführt, dem Interesse des Bürgers an der Voraussehbarkeit der Rechtsordnung könnten erhebliche öffentliche Interessen an der rückwirkenden Inkraftsetzung von Erlassen entgegenstehen. Diese Interessen könnten vorgehen, insbesondere wenn nichtfiskalische, sondern wirtschaftspolitische Zwecke im Vordergrund stünden. Auch nach der Praxis des Regierungsrates des Kantons Luzern (Amtl. Sammlung 1950, S. 36), aufwelche sich der Regierungsrat im Entscheid vom 3. Juli 1967 ausdrücklich beruft, kann eine Rechtfertigung für die rückwirkende Anwendung gerade der in Frage stehenden Wertzuwachssteuer "nicht einfach darin liegen, dass man erklärt, für die Gemeinde seien derartige Steuereingänge erwünscht; denn das sind sie in jedem Falle". Es müssten vielmehr "ganz besondere Gründe geltend gemacht BGE 95 I 6 S. 11 werden können, die die Rückwirkung geradezu als eine Notwendigkeit erscheinen lassen." Derartige Gründe werden aber im vorliegenden Falle nicht angeführt. Im Gegensatz zu seiner eigenen und der bundesgerichtlichen Rechtsprechung begnügte sich der Regierungsrat im vorliegenden Falle mit dem Vorliegen der Absicht der Beschwerdeführerin, durch beschleunigten Abschluss der Kaufverträge die Wertzuwachssteuer zu vermeiden, um deren rückwirkende Anwendung als zulässig zu erklären. Da somit beachtenswerte oder triftige Gründe, die ein Abweichen vom Grundsatz der Nichtrückwirkung rechtfertigen würden, nicht geltend gemacht werden, verletzt die rückwirkende Anwendung des Wertzuwachssteuerbeschlusses der Gemeinde Oberkirch vom 16. April 1961 auf die von der Beschwerdeführerin mit W. und A. abgeschlossenen Grundstückkaufverträge vom 28. März 1961 Art. 4 BV . Sie stellt zudem eine stossende, mit Art. 4 BV unvereinbare Rechtsungleichheit dar, indem die Rückwirkung im vorliegenden Falle in Abweichung von der eigenen Praxis des Regierungsrates, auf die er sich selbst beruft, bejaht wurde, ohne dass Gründe angeführt worden sind, welche eine solche Ausnahmebehandlung sachlich rechtfertigen würden. Die beiden angefochtenen Entscheide des Regierungsrates vom 3. Juli 1967 und 12. Juli 1968 sind daher aufzuheben. Damit erübrigt sich die Prüfung der Frage, ob entsprechend der Annahme des Regierungsrates tatsächlich nur die Absicht der Beschwerdeführerin, die Wertzuwachssteuer zu vermeiden, den eiligen Kaufsabschluss erklären könne. Dahingestellt kann auch bleiben, wie es sich mit der von der Beschwerdeführerin für den Fall ihrer grundsätzlichen Steuerpflicht erhobenen Einrede der Verwirkung und Verjährung der Steueransprüche verhält.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