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599</w:t>
      </w:r>
    </w:p>
    <w:p>
      <w:r>
        <w:t>Bundesgericht (BGE), 1969-12-19, DE</w:t>
      </w:r>
    </w:p>
    <w:p>
      <w:r>
        <w:rPr>
          <w:b/>
        </w:rPr>
        <w:t xml:space="preserve">Quelle: </w:t>
      </w:r>
      <w:r>
        <w:t>https://mcp.opencaselaw.ch/entscheid/bge_BGE_95_I_599</w:t>
      </w:r>
    </w:p>
    <w:p>
      <w:r>
        <w:t>FR: ATF 95 I 599</w:t>
      </w:r>
    </w:p>
    <w:p>
      <w:r>
        <w:t>IT: DTF 95 I 599</w:t>
      </w:r>
    </w:p>
    <w:p>
      <w:pPr>
        <w:pStyle w:val="Heading2"/>
      </w:pPr>
      <w:r>
        <w:t>Regeste</w:t>
      </w:r>
    </w:p>
    <w:p>
      <w:r>
        <w:t>Regeste Verrechnungssteuer auf Kapitalerträgen (BG vom 13. Oktober 1965). Die Gratisaktien unterliegen dieser Steuer.</w:t>
      </w:r>
    </w:p>
    <w:p>
      <w:r>
        <w:t>Regeste Impôt anticipé sur les revenus des capitaux mobiliers (LF du 13 octobre 1965). Les actions gratuites sont soumises à cet impôt.</w:t>
      </w:r>
    </w:p>
    <w:p>
      <w:r>
        <w:t>Regesto Imposta preventiva sui redditi di capitali mobili (LF del 13 ottobre 1965). Le azioni gratuite soggiacciono a questa imposta.</w:t>
      </w:r>
    </w:p>
    <w:p>
      <w:pPr>
        <w:pStyle w:val="Heading2"/>
      </w:pPr>
      <w:r>
        <w:t>Erwägungen</w:t>
      </w:r>
    </w:p>
    <w:p>
      <w:r>
        <w:rPr>
          <w:b/>
        </w:rPr>
        <w:t>E. 1</w:t>
      </w:r>
    </w:p>
    <w:p>
      <w:r>
        <w:t>Nach Art. 4 Abs. 1 VStG sind Gegenstand der Verrechnungssteuer auf dem Ertrag beweglichen Kapitalvermögens "die Zinsen, Renten, Gewinnanteile und sonstigen Erträge", die von den in lit. a-d genannten Vermögenswerten abgeworfen werden. Unter anderem werden die Erträge von Aktien erfasst (lit. b). Als solche Erträge sind nach der gesetzlichen Ordnung auch die Gratisaktien anzusehen. Das wird zwar in Art. 4 VStG nicht ausdrücklich gesagt, ergibt sich jedoch aus Art. 18 und 25 VStG . Nach Art. 18 VStG kann "die Steuerforderung, die bei der Aufwertung sanierungshalber abgeschriebener Beteiligungsrechte entstanden ist", unter bestimmten Voraussetzungen erlassen werden. Diese Vorschrift setzt offensichtlich voraus, dass die Ausgabe von Gratisaktien der Verrechnungssteuer unterliegt; denn die Aktiengesellschaft, welche sanierungshalber abgeschriebene Aktien aufwertet, teilt damit den Aktionären Gratisaktien zu. BGE 95 I 599 S. 601 Art. 25 VStG bestimmt in Abs. 1, dass juristische Personen, Handelsgesellschaften ohne juristische Persönlichkeit und ausländische Unternehmen mit inländischer Betriebsstätte, welche die mit der Verrechnungssteuer belasteten Einkünfte nicht ordnungsgemäss als Ertrag verbuchen, den Anspruch auf Rückerstattung der von diesen Einkünften abgezogenen Verrechnungssteuer verwirken, und in Abs. 2, dass die Verordnung Ausnahmen zulassen kann, "wo besondere Verhältnisse es rechtfertigen (Gratisaktien und dergleichen)". Auch hieraus geht klar hervor, dass das VStG die Gratisaktien als steuerbaren Ertrag im Sinne seines Art. 4 betrachtet. Die Feststellung in Art. 20 Abs. 1 VStV , dass Gratisaktien einen solchen Ertrag darstellen, entspricht somit dem Gesetz. Ob diese Verordnungsbestimmung im übrigen gesetzmässig sei, ist im vorliegenden Verfahren nicht zu überprüfen. Es erübrigt sich auch, die Einwendungen zu erörtern, mit denen die Beschwerdeführerin darzutun sucht, dass "nach allgemeinen Grundsätzen" die Gratisaktien nicht als Kapitalerträge angesehen werden könnten. Massgebend ist die positive Ordnung, die im VStG aufgestellt ist. Sie lässt keinem Zweifel darüber Raum, dass die Gratisaktien als Kapitalerträge im Sinne des Art. 4 VStG gelten und daher der Verrechnungssteuer unterliegen.</w:t>
      </w:r>
    </w:p>
    <w:p>
      <w:r>
        <w:rPr>
          <w:b/>
        </w:rPr>
        <w:t>E. 2</w:t>
      </w:r>
    </w:p>
    <w:p>
      <w:r>
        <w:t>Die Beschwerdeführerin beruft sich auf BGE 94 I 160 ff., wo ausgeführt wird, dass die Rückerstattung des von den Gesellschaftern eingebrachten Eigenkapitals der Gesellschaft nach dem Wortlaut und Sinn des Art. 4 VStG der Verrechnungssteuer auch dann nicht unterworfen sei, wenn die Einlagen nicht Bestandteil des nominellen Gesellschaftskapitals geworden sind. Die Eidg. Steuerverwaltung wünscht, dass das Bundesgericht diese Rechtsprechung, die auf Kritik gestossen ist (PFUND in ASA Bd. 37 S. 176 ff.), bei der Beurteilung des vorliegenden Falles überprüfe. Dazu besteht jedoch kein Anlass; denn niemand behauptet, dass mit der Zuteilung der von der Beschwerdeführerin ausgegebenen Gratisaktien Einlagen der Gesellschafter zurückbezahlt worden seien; es ist unbestritten, dass die Mittel für die Liberierung dieser Aktien aus angesammelten Gewinnen der Beschwerdeführerin stammen.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