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418</w:t>
      </w:r>
    </w:p>
    <w:p>
      <w:r>
        <w:t>Bundesgericht (BGE), 1969-06-18, FR</w:t>
      </w:r>
    </w:p>
    <w:p>
      <w:r>
        <w:rPr>
          <w:b/>
        </w:rPr>
        <w:t xml:space="preserve">Quelle: </w:t>
      </w:r>
      <w:r>
        <w:t>https://mcp.opencaselaw.ch/entscheid/bge_BGE_95_I_418</w:t>
      </w:r>
    </w:p>
    <w:p>
      <w:r>
        <w:t>FR: ATF 95 I 418</w:t>
      </w:r>
    </w:p>
    <w:p>
      <w:r>
        <w:t>IT: DTF 95 I 418</w:t>
      </w:r>
    </w:p>
    <w:p>
      <w:pPr>
        <w:pStyle w:val="Heading2"/>
      </w:pPr>
      <w:r>
        <w:t>Regeste</w:t>
      </w:r>
    </w:p>
    <w:p>
      <w:r>
        <w:t>Regeste Enteignung. Strassenbeiträge. Vereinbarungen zwischen einer Gemeinde und Privaten über das für die öffentlichen Strassen abzutretende Land und die von den Grundeigentümern zu zahlenden Strassenbeiträge: Die Streitigkeiten, die über solche Verträge entstehen, sind öffentlichrechtliche Streitigkeiten, deren Beurteilung in die Zuständigkeit derjenigen Behörde fällt, die zuständig wäre, wenn kein Vertrag abgeschlossen worden wäre.</w:t>
      </w:r>
    </w:p>
    <w:p>
      <w:r>
        <w:t>Regeste Expropriation. Contributions pour les routes. Accords passés entre une commune et des particuliers au sujet des terrains à céder pour les voies publiques et des contributions de viabilité à payer par les propriétaires: les conflits qui surgissent à propos de tels accords constituent des différends de droit public dont doit connaître l'autorité qui serait compétente s'il n'y avait pas eu d'accord.</w:t>
      </w:r>
    </w:p>
    <w:p>
      <w:r>
        <w:t>Regesto Espropriazione. Contributi per le strade. Accordi conclusi tra un comune e privati in merito alla cessione di terreni per le strade pubbliche e al pagamento di contributi stradali da parte dei proprietari: le vertenze che dovessero sorgere a proposito di questi accordi sono vertenze di diritto pubblico su cui deve pronunciarsi l'autorità che sarebbe competente se non ci fosse stato l'accordo.</w:t>
      </w:r>
    </w:p>
    <w:p>
      <w:pPr>
        <w:pStyle w:val="Heading2"/>
      </w:pPr>
      <w:r>
        <w:t>Erwägungen</w:t>
      </w:r>
    </w:p>
    <w:p>
      <w:r>
        <w:rPr>
          <w:b/>
        </w:rPr>
        <w:t>E. 3</w:t>
      </w:r>
    </w:p>
    <w:p>
      <w:r>
        <w:t>Le Conseil d'Etat s'est déclaré incompétent, ratione materiae, pour statuer sur les prétentions financières que la BGE 95 I 418 S. 421 commune de Neuchâtel fait valoir contre les recourants. La participation financière qui leur est demandée constitue des charges de préférence; la commune doit en déduire les montants dont elle est redevable pour l'acquisition des terrains que les recourants doivent lui céder en vue de l'élargissement ou de la construction des voies d'accès. Selon le Conseil d'Etat, les conflits dérivant de l'imposition de charges de préférence, comme ceux qui concernent l'expropriation, relèvent de la compétence des autorités désignées par la loi du 21 avril 1913 sur l'expropriation, savoir la Commission d'estimation et, en seconde instance, le Tribunal cantonal. Avec raison, les recourants ne soulèvent aucun grief contre cette manière de voir, qui est exacte. On ne voit dès lors pas en quoi les décisions attaquées pourraient, sur ce point, violer l'art. 4 Cst. En réalité, les recourants craignent que la commune de Neuchâtel ne se prévale des factures établies à leur charge comme de décisions passées en force, contre lesquelles aucun moyen de droit ne serait plus recevable. Telle est en effet la thèse que la commune a fait valoir devant le Conseil d'Etat à l'appui de sa conclusion de non-entrée en matière, soutenant que les factures n'étaient que des actes d'exécution de décisions prises antérieurement et passées en force. Le Conseil d'Etat n'a pas fait sienne cette thèse de la commune. Il s'est borné à relever qu'il appartenait aux autorités désignées par la loi sur l'expropriation de 1913, à laquelle renvoie l'art. 9 LC, de décider si et dans quelle mesure la ville de Neuchâtel aurait dû procéder par la voie de l'expropriation; il a relevé également que ces mêmes autorités sont compétentes pour juger du montant des charges de préférence et, notamment, pour dire si et dans quelle mesure les recourants sont liés par les décisions antérieures de la commune ou par les accords passés par elle avec les propriétaires-recourants ou leurs prédécesseurs. Ainsi la décision attaquée ne préjuge nullement la situation juridique des recourants: de ce point de vue, la qualité pour recourir leur fait défaut (art. 88 OJ). D'ailleurs, la manière de voir du Conseil d'Etat paraît exacte. Il s'agit en effet de statuer sur l'existence et la portée de prétendus accords passés entre la commune et les recourants et de la force exécutoire de décisions prises par la commune sur la base de ces accords. Or la doctrine et la jurisprudence reconnaissent que de tels conflits constituent des différends de droit public, BGE 95 I 418 S. 422 dont doit connaître l'autorité qui serait compétente si aucun accord n'avait été passé (cf. IMBODEN, Schweiz. Verwaltungsrechtsprechung, 3e éd., no 332 rem. IX et la jurisprudence citée). 4. - Quant à l'obligation imposée par la commune aux recourants d'aménager des places de stationnement sur le domaine public, le Conseil d'Etat a déclaré tardifs les griefs soulevés devant lui par les recourants. Ceux-ci ne critiquent pas la manière de voir du Conseil d'Etat, du moins ne le font-ils pas d'une façon conforme aux exigences de l'art. 90 OJ relatives à la motivation du recours de droit public. Le recours est dès lors irrecevable sur ce point. Au surplus la décision attaquée paraît parfaitement justifiée à cet égard: ainsi qu'il ressort des pièces du dossier, la décision de la commune relative aux places de stationnement sur le domaine public remonte, au plus tard, au 25 juillet 1965; les recours au Conseil d'Etat ont été déposés le 16 septembre 1966, soit bien après le délai de 20 jours prévu par l'art. 5 LC. Si, en revanche, les recourants entendent faire valoir, par là, qu'il découlerait de ladite décision communale - non contestée comme telle - des conséquences quant aux indemnités d'expropriation qui leur sont dues et au calcul des charges de préférence qui leur sont imposées, cette question relèverait, elle aussi, de la compétence des autorités désignées par la loi sur l'expropriation, de sorte que le Conseil d'Etat aurait eu raison de se déclarer incompétent sur ce point également.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