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202</w:t>
      </w:r>
    </w:p>
    <w:p>
      <w:r>
        <w:t>Bundesgericht (BGE), 1969-07-09, DE</w:t>
      </w:r>
    </w:p>
    <w:p>
      <w:r>
        <w:rPr>
          <w:b/>
        </w:rPr>
        <w:t xml:space="preserve">Quelle: </w:t>
      </w:r>
      <w:r>
        <w:t>https://mcp.opencaselaw.ch/entscheid/bge_BGE_95_I_202</w:t>
      </w:r>
    </w:p>
    <w:p>
      <w:r>
        <w:t>FR: ATF 95 I 202</w:t>
      </w:r>
    </w:p>
    <w:p>
      <w:r>
        <w:t>IT: DTF 95 I 202</w:t>
      </w:r>
    </w:p>
    <w:p>
      <w:pPr>
        <w:pStyle w:val="Heading2"/>
      </w:pPr>
      <w:r>
        <w:t>Regeste</w:t>
      </w:r>
    </w:p>
    <w:p>
      <w:r>
        <w:t>Regeste Sicherheitsleistung wegen Flucht- und Kollusionsgefahr. Art. 4 BV. Die Sicherheit kann nur solange aufrechterhalten werden, als ein Haftgrund besteht. Sie kann aber auch dann mit Fluchtgefahr begründet werden, wenn der Beschuldigte die zu erwartende Freiheitsstrafe voraussichtlich nicht zu erstehen vermag.</w:t>
      </w:r>
    </w:p>
    <w:p>
      <w:r>
        <w:t>Regeste Caution en cas de danger de fuite ou de collusion. Art. 4 Cst. Une caution ne peut être exigée que dans la mesure où il existe un motif de détention préventive. Elle peut cependant être justifiée par le danger de fuite, alors même que l'inculpé ne serait pas en état de subir la peine privative de liberté qui sera probablement prononcée.</w:t>
      </w:r>
    </w:p>
    <w:p>
      <w:r>
        <w:t>Regesto Cauzione in caso di pericolo di fuga o di collusione. Art. 4 CF. La cauzione può essere mantenuta solo fintanto che sussiste un motivo di detenzione preventiva. Essa può tuttavia essere giustificata dal pericolo di fuga, anche quando l'imputato non potrà probabilmente subire la pena privativa di libertà che sarà presumibilmente pronunciata.</w:t>
      </w:r>
    </w:p>
    <w:p>
      <w:pPr>
        <w:pStyle w:val="Heading2"/>
      </w:pPr>
      <w:r>
        <w:t>Erwägungen</w:t>
      </w:r>
    </w:p>
    <w:p>
      <w:r>
        <w:rPr>
          <w:b/>
        </w:rPr>
        <w:t>E. 1</w:t>
      </w:r>
    </w:p>
    <w:p>
      <w:r>
        <w:t>Nach Art. 132 Abs. 1 StrV wird die noch nicht verfallene Sicherheit frei, wenn der Angeschuldigte wieder verhaftet wird, er die erkannte Strafe antritt, durch rechtskräftiges Urteil freigesprochen oder wenn die Untersuchung aufgehoben wird und ihm keine Kosten auferlegt werden. Die Vorinstanz ist der Auffassung, dass diese Bestimmung die Umstände, unter BGE 95 I 202 S. 204 denen die Sicherheit frei wird, abschliessend aufzähle; aus den Vorschriften über die Verhaftung und die vorläufige Freilassung eines Angeschuldigten lasse sich daher nichts zugunsten des Beschwerdeführers ableiten. Diese Auffassung widerspricht indes, wie der Beschwerdeführer mit Recht einwendet, dem Sinn und Zweck der gesetzlichen Regelung. Die vorläufige Freilassung gegen Sicherheitsleistung setzt nach Art. 129 Abs. 1 StrV voraus, dass noch ein Verhaftungsgrund vorliegt. Schon daraus erhellt, dass die Sicherheitsleistung unter der gleichen allgemeinen Voraussetzung steht wie die Untersuchungshaft. Sie ist im Verhältnis zu dieser bloss Ersatzmassnahme, will jedoch wie die Untersuchungshaft insbesondere der Gefahr vorbeugen, dass der Angeschuldigte sich der Strafverfolgung durch Flucht entzieht. Die Sicherheitsleistung stellt zudem eine Vergünstigung für den Angeschuldigten dar, da ihm eine Verlängerung der Untersuchungshaft, wozu an sich Grund bestünde, erspart bleibt. Gleich wie der Untersuchungsgefangene aus der Haft zu entlassen ist, wenn der Haftgrund wegfällt, wird aber auch die Sicherheit frei, wenn dieser Grund nicht mehr besteht. Es wäre daher sinnwidrig, an einer Sicherheitsleistung festzuhalten, die dem Angeschuldigten dann, wenn er wegen Wegfalls des Haftgrundes freizulassen ist, nicht auferlegt werden könnte. Dass Art. 132 Abs. 1 StrV den Fall, da die Sicherheit zufolge Wegfalls des Haftgrundes frei wird, nicht ausdrücklich regelt, hilft darüber nicht hinweg. Das ist zweifellos eine Lücke, die sich aber leicht dadurch erklärt, dass der Gesetzgeber das Freiwerden der Kaution diesfalls für selbstverständlich hielt und deshalb nicht besonders erwähnte. Das ist umsomehr anzunehmen, als es sich um einen allgemein anerkannten Rechtsgrundsatz handelt, der insbesondere auch in Art. 57 BStP und § 121 der deutschen StPO enthalten ist. Die Auslegung von Art. 132 StrV durch die Vorinstanz verstösst offensichtlich gegen diesen Grundsatz und hält daher vor Art. 4 BV nicht stand.</w:t>
      </w:r>
    </w:p>
    <w:p>
      <w:r>
        <w:rPr>
          <w:b/>
        </w:rPr>
        <w:t>E. 2</w:t>
      </w:r>
    </w:p>
    <w:p>
      <w:r>
        <w:t>Im vorliegenden Fall kann somit die Kaution nur unter der Voraussetzung, dass immer noch ein Haftgrund gegeben ist, aufrechterhalten werden. Die Vorinstanz nimmt offenbar mit Recht nicht an, dass weiterhin Kollusionsgefahr bestehe; nachdem der Angeschuldigte sich bereits seit Herbst 1967 in Freiheit befindet, wäre heute eine solche Gefahr jedenfalls BGE 95 I 202 S. 205 schwerlich zu begründen. Dagegen bejaht die Anklagekammer den Haftgrund der Fluchtgefahr, von der sie annimmt, dass sie durch den schlechten Gesundheitszustand des Angeschuldigten wohl vermindert worden sei, aber nicht völlig ausgeschlossen werden könne. Wie der Beschwerdeführer unter Hinweis auf den Kommentar WAIBLINGER (N. 1 zu Art. 132 StrV) zutreffend ausführt, genügt nicht jede noch so entfernte Gefahr, um einen Angeschuldigten wegen Fluchtverdachts in Haft zu setzen; denn die Möglichkeit, dass ein nicht verhafteter Beschuldigter sich durch Flucht der Strafverfolgung entzieht, besteht an sich in jedem Strafverfahren. Es müssen vielmehr Gründe vorliegen, die eine Flucht nicht nur als objektiv möglich, sondern als wahrscheinlich erscheinen lassen. Ob letzteres zutreffe oder nicht, hängt von den Umständen des einzelnen Falles ab. Die Strafbehörde hat sie nach pflichtgemässem Ermessen zu würdigen. Das Bundesgericht kann nur einschreiten, wenn die kantonale Behörde die Grenze zulässigen Ermessens offensichtlich überschritten hat und in Willkür verfallen ist ( BGE 89 I 18 und dort angeführte Urteile). Dass hier ein solcher Ermessensmissbrauch vorliege, lässt sich nicht sagen. Gewiss erscheint die Fluchtgefahr angesichts des Gesundheitszustandes des Beschwerdeführers nicht als dringlich. Sie lässt sich aber auch nicht als unbedeutend oder gar als nicht bestehend abtun. Der Beschwerdeführer lebt in günstigen finanziellen Verhältnissen; er versteuerte nach den Akten in den Jahren 1965 und 1966 Fr. 521'000.-- Vermögen und Fr. 52'500.-- Einkommen. Berücksichtigt man zudem die zahlreichen und schwerwiegenden Straftaten, die dem Beschwerdeführer vorgeworfen werden, so ist die Annahme vertretbar, die Flucht sei nicht bloss objektiv möglich, sondern bis zu einem gewissen Grad wahrscheinlich. Der angefochtene Entscheid ist daher im Ergebnis nicht zu beanstanden.</w:t>
      </w:r>
    </w:p>
    <w:p>
      <w:r>
        <w:rPr>
          <w:b/>
        </w:rPr>
        <w:t>E. 3</w:t>
      </w:r>
    </w:p>
    <w:p>
      <w:r>
        <w:t>Der Beschwerdeführer macht mit Recht nicht geltend, dass der Entscheid der Anklagekammer schon deshalb, weil er weder eine neue Untersuchungshaft noch eine allfällige Freiheitsstrafe erstehen könnte, gegen Art. 4 BV verstosse. Die Sicherheit soll zwar für den Fall, dass der Angeschuldigte mit einer unbedingten Freiheitsstrafe zu rechnen hat, auch den Antritt der Strafe gewährleisten. Das ist aber nicht ihr einziger und erster Zweck, da sie vor allem die Anwesenheit des Beschuldigten während des Strafverfahrens sicherstellen will. Eine BGE 95 I 202 S. 206 Kaution lässt sich daher selbst dann mit Fluchtgefahr begründen, wenn der Angeschuldigte die zu erwartende Freiheitsstrafe nicht zu erstehen vermöchte (vgl. Art. 129 Abs. 1 StrV; Komm. LÖWE/ROSENBERG, 21. Auflage, Anm. II 3 zu §§ 117 - 120 der deutschen StPO).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