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155</w:t>
      </w:r>
    </w:p>
    <w:p>
      <w:r>
        <w:t>Bundesgericht (BGE), 1969-05-14, DE</w:t>
      </w:r>
    </w:p>
    <w:p>
      <w:r>
        <w:rPr>
          <w:b/>
        </w:rPr>
        <w:t xml:space="preserve">Quelle: </w:t>
      </w:r>
      <w:r>
        <w:t>https://mcp.opencaselaw.ch/entscheid/bge_BGE_95_I_155</w:t>
      </w:r>
    </w:p>
    <w:p>
      <w:r>
        <w:t>FR: ATF 95 I 155</w:t>
      </w:r>
    </w:p>
    <w:p>
      <w:r>
        <w:t>IT: DTF 95 I 155</w:t>
      </w:r>
    </w:p>
    <w:p>
      <w:pPr>
        <w:pStyle w:val="Heading2"/>
      </w:pPr>
      <w:r>
        <w:t>Regeste</w:t>
      </w:r>
    </w:p>
    <w:p>
      <w:r>
        <w:t>Regeste Elektrische Hausinstallationen; Art. 4 BV. Abklärung des Sachverhalts bei der Prüfung der Frage, ob das Monopol zum Ausführen elektrischer Hausinstallationen zulässig sei.</w:t>
      </w:r>
    </w:p>
    <w:p>
      <w:r>
        <w:t>Regeste Installations électriques intérieures; art. 4 Cst. Examen de la situation de fait en vue de résoudre la question de l'admissibilité d'un monopole pour l'exécution des installations électriques intérieures.</w:t>
      </w:r>
    </w:p>
    <w:p>
      <w:r>
        <w:t>Regesto Installazioni elettriche interne; art. 4 CF. Esame della fattispecie per risolvere la questione dell'ammissibilità d'un monopolio per l'esecuzione di installazioni elettriche interne.</w:t>
      </w:r>
    </w:p>
    <w:p>
      <w:pPr>
        <w:pStyle w:val="Heading2"/>
      </w:pPr>
      <w:r>
        <w:t>Erwägungen</w:t>
      </w:r>
    </w:p>
    <w:p>
      <w:r>
        <w:rPr>
          <w:b/>
        </w:rPr>
        <w:t>E. 1</w:t>
      </w:r>
    </w:p>
    <w:p>
      <w:r>
        <w:t>(Eintretensfragen.)</w:t>
      </w:r>
    </w:p>
    <w:p>
      <w:r>
        <w:rPr>
          <w:b/>
        </w:rPr>
        <w:t>E. 2</w:t>
      </w:r>
    </w:p>
    <w:p>
      <w:r>
        <w:t>(Darstellung der in BGE 95 I 149 ff. wiedergegebenen neuen Praxis hinsichtlich der Zulässigkeit des Monopols zum Ausführen elektrischer Hausinstallationen: Das Monopol lässt BGE 95 I 155 S. 158 sich weder aus fiskalischen noch aus sicherheitspolizeilichen Gründen mit Art. 31 BV vereinbaren. Hingegen kann es sich nach wie vor aus anderen Gründen des öffentlichen Wohles rechtfertigen. Einen solchen Grund bildet u.a. das öffentliche Interesse an rascher Behebung von Störungen am Freileitungsnetz und anderen Werksanlagen. Dieses Interesse lässt sich u.U. auch dadurch wahren, dass den zugelassenen privaten Installationsfirmen geeignete Bedingungen und Auflagen gemacht werden.)</w:t>
      </w:r>
    </w:p>
    <w:p>
      <w:r>
        <w:rPr>
          <w:b/>
        </w:rPr>
        <w:t>E. 3</w:t>
      </w:r>
    </w:p>
    <w:p>
      <w:r>
        <w:t>Der Regierungsrat des Kantons Glarus führt aus, dass beim EWS - im Unterschied zu anderen Elektrizitätswerken glarnerischer Gemeinden - besondere Verhältnisse vorlägen, die die Aufrechterhaltung des Installationsmonopols rechtfertigten, ja erheischten. a) Die erste Überlegung der kantonalen Instanz bezieht sich auf die Ausdehnung des Absatzgebietes (zehn Gemeinden), auf die besonderen geographischen und klimatischen Verhältnisse in diesem Gebiet sowie auf Zahl und Umfang der Anlagen, die das EWS in Stand zu halten hat: Über 100 km Freileitungen, 30 eigene und 25 andere Transformatorenstationen, alles in einem Gelände mit 1100 m Höhendifferenz. Es ist glaubhaft, dass hier die Instandhaltung der Anlagen, und erst recht die Behebung von Schäden, die durch Naturereignisse im Winter angerichtet werden, die Überwindung grösserer Hindernisse und mehr Arbeitsaufwand erheischen als die Behebung gleichartiger Schäden im Hügel- oder Flachland. Damit ist aber die Frage noch nicht beantwortet, ob dafür eine Installationsabteilung mit Monopolbetrieb nötig sei. Wie sich aus einer Aufstellung über den Personalbestand des EWS ergibt, sind dort drei Arbeitsgruppen mit verschiedenen Aufgaben beschäftigt. Eine erste befasst sich mit der Leitung und Verwaltung des ganzen Unternehmens, eine zweite mit dem Bau, Betrieb und Unterhalt der Freileitungen und Transformatorenstationen und eine dritte mit den Installationen in den Häusern. Nur um diese letztgenannte Gruppe geht es hier. Sie installiert alles, was zur Verwendung des elektrischen Stroms im Innern der Gebäude erforderlich ist. Sie besorgt auch alle Änderungen und Reparaturen an diesen Einrichtungen. Die Zahl der hier beschäftigten Leute entspricht dem Arbeitsanfall. Ausnahmsweise, d.h. bei katastrophenartigen Störungen, wenn die Bau- und Betriebsgruppe wegen des Zusammenfalls von BGE 95 I 155 S. 159 Störungen an verschiedenen Orten die angefallene Arbeit nicht oder nicht rasch genug zu bewältigen vermag, wird auch die Installationsgruppe zur Reparatur von Freileitungen und Transformatorenstationen beigezogen. Sie ist also nebenbei Reservemannschaft für solche Störungsfälle. Die Erfüllung dieser zweiten Aufgabe rechtfertigt nach Ansicht des Regierungsrates die Beibehaltung des Installationsmonopols. Die kantonale Instanz nimmt an, die in Katastrophenfällen einsetzbaren Hilfskräfte würden vermindert, wenn beim Dahinfallen des Monopols der Bestand der Installationsequipe herabgesetzt werden müsste. Indessen ist nicht sicher, dass ein Abbau des Installationspersonalbestandes drohe. In sämtlichen Jahresberichten des EWS wird dessen Beschäftigung "namentlich infolge der regen Bautätigkeit" als gut hervorgehoben. b) Der Regierungsrat hat bei seinem Entscheid auf ein Gutachten abgestellt, das dem EWS erstattet worden war. In diesem Gutachten wird erklärt, dass es falsch wäre, "zu sagen, dass bei einer Reduktion der Installationsabteilung ein Beheben der Störungen unmöglich sei". Es frage sich lediglich, "ob dabei die Unterbruchszeiten nicht soweit verlängert werden, dass der Schaden, der dadurch bei den Abonnenten eintritt, eine Grösse erreicht, die für diese Abonnenten als untragbar gilt". Die technische Frage, wie gross die Verzögerungen bei einem Abbau der Installationsgruppe um einen, zwei oder drei Mann würden, wirft der Experte zwar auf, beantwortet sie aber nicht. Dafür stellt er im Anschluss an das oben Ausgeführte fest, es liege "wohl im öffentlichen Interesse", dass das EWS seine "recht bescheidene Installationsabteilung voll aufrecht erhalten" könne. Diesen Entscheid des Experten über eine Rechtsfrage hat der Regierungsrat in seinem Beschluss übernommen, obschon nach dem Gesagten die technischen Angaben zur Beurteilung dieser Frage unvollständig waren. Die kantonale Instanz hat damit den Art. 4 BV verletzt. Ob auch Art. 31 BV verletzt sei, lässt sich nicht beurteilen, bevor die technischen Angaben im Sinne der vorstehenden Ausführungen ergänzt sind. c) Nach den Feststellungen des Experten musste das gesamte Personal der Installationsgruppe in einem Zeitraum von etwas über 2900 Tagen 17 Mal zur Mithilfe bei der Behebung von Freileitungsschäden aufgeboten werden. Der Regierungsrat hat daraus abgeleitet, das Monopol der Installationsabteilung des EWS sei beizubehalten. Indessen wurde die Frage nicht erörtert, BGE 95 I 155 S. 160 ob die Inanspruchnahme der Installationsabteilung in weniger als 6‰ aller Betriebstage proportional sei zum Zweck der Verkürzung von Stromunterbrüchen von vielleicht einigen Stunden. Der Regierungsrat hätte dazu umso mehr Anlass gehabt, als die Beschwerdeführerin schon in ihrer Eingabe an das EWS vom 1. März 1967 Mitwirkung bei der Behebung von Störungen zu Konkurrenzpreisen angeboten und in ihrem Rekurs an den Regierungsrat eine "neutrale Expertise" darüber verlangt hatte, ob das EWS nur zur Aufrechterhaltung einer genügenden Bereitschaftsequipe für Störungsfälle des Installationsmonopols bedürfe. Der Regierungsrat ist über diesen Fragenkreis hinweggegangen, obwohl ihm unmöglich entgangen sein konnte, dass der Bericht, den der Experte dem EWS auf dessen Anforderung erstattet hatte, ein Parteigutachten darstellt. Die kantonale Instanz hat damit ebenfalls Art. 4 BV verletzt. d) Ob sich die Verwendung von werkfremdem Personal beim Störungsdienst an Freileitungen wirklich nicht durchführenlasse, wie das EWS in seiner Vernehmlassung zur staatsrechtlichen Beschwerde behauptet, hat der Regierungsrat zu prüfen. Wie aus BGE 95 I 154 erhellt, haben die Freileitungsmonteure keine bessere berufliche Ausbildung genossen als die Elektromonteure, deren Ausbildung durch ein Reglement des EVD vom 6. Juni 1967 (BBl 1967 II 181) geordnet ist. Jedenfalls versteht sich nach dem Gesagten nicht von selbst, dass sich die Elektromonteure der Beschwerdeführerin die für die Reparaturen an Freileitungen nötigen Kenntnisse nicht in gleicher Weise aneignen können wie die Elektromonteure des EWS. Es versteht sich erst recht nicht von selbst, dass nur werkeigene Leute ortskundig, berggewandt und zur Übernahme von Strapazen in Notfällen bereit seien. Das Angebot der Beschwerdeführerin muss daher ernsthaft geprüft werden. Erst wenn das geschehen sein wird, kann beurteilt werden, ob überhaupt und - wenn ja - ob eine erhebliche Schwächung der Pikettmannschaft bei Preisgabe des Installationsmonopols zu befürchten wäre, und ob ein vernünftiges Verhältnis besteht zwischen dem durch das Monopol angeblich zu wahrenden öffentlichen Interesse und dem Eingriff in die Handels- und Gewerbefreiheit, den die Verweigerung der Bewilligung der Beschwerdeführerin gegenüber darstellt.</w:t>
      </w:r>
    </w:p>
    <w:p>
      <w:r>
        <w:rPr>
          <w:b/>
        </w:rPr>
        <w:t>E. 4</w:t>
      </w:r>
    </w:p>
    <w:p>
      <w:r>
        <w:t>Der angefochtene Beschluss des Regierungsrates ist daher anfzuheben. Der Regierungsrat wird sich nochmals mit der Sache befassen und vorerst den Sachverhalt weiter abklären BGE 95 I 155 S. 161 müssen. Unter diesen Umständen kann dahingestellt bleiben, ob der Regierungsrat - wie die Beschwerdeführerin behauptet - Art. 4 BV schon dadurch verletzt habe, dass er es unterliess, die Rechnungen des EWS beizuziehen.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